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2E62" w14:textId="721E1440" w:rsidR="00AA43CE" w:rsidRPr="00AA43CE" w:rsidRDefault="00AA43CE" w:rsidP="00AA43CE">
      <w:pPr>
        <w:spacing w:after="0" w:line="240" w:lineRule="auto"/>
        <w:ind w:firstLine="480"/>
        <w:jc w:val="right"/>
        <w:rPr>
          <w:rFonts w:ascii="Times New Roman" w:eastAsia="Times New Roman" w:hAnsi="Times New Roman" w:cs="Times New Roman"/>
          <w:color w:val="000000"/>
          <w:kern w:val="0"/>
          <w:sz w:val="16"/>
          <w:szCs w:val="16"/>
          <w:lang w:eastAsia="ru-RU"/>
          <w14:ligatures w14:val="none"/>
        </w:rPr>
      </w:pPr>
    </w:p>
    <w:p w14:paraId="7F824355" w14:textId="19F1605E" w:rsidR="00AA43CE" w:rsidRPr="00AA43CE" w:rsidRDefault="00AA43CE" w:rsidP="00AA43CE">
      <w:pPr>
        <w:spacing w:after="0" w:line="240" w:lineRule="auto"/>
        <w:ind w:firstLine="480"/>
        <w:jc w:val="center"/>
        <w:rPr>
          <w:rFonts w:ascii="Times New Roman" w:eastAsia="Times New Roman" w:hAnsi="Times New Roman" w:cs="Times New Roman"/>
          <w:color w:val="000000"/>
          <w:kern w:val="0"/>
          <w:sz w:val="20"/>
          <w:szCs w:val="20"/>
          <w:lang w:eastAsia="ru-RU"/>
          <w14:ligatures w14:val="none"/>
        </w:rPr>
      </w:pPr>
      <w:r w:rsidRPr="00AA43CE">
        <w:rPr>
          <w:rFonts w:ascii="Times New Roman" w:eastAsia="Times New Roman" w:hAnsi="Times New Roman" w:cs="Times New Roman"/>
          <w:color w:val="000000"/>
          <w:kern w:val="0"/>
          <w:sz w:val="20"/>
          <w:szCs w:val="20"/>
          <w:lang w:eastAsia="ru-RU"/>
          <w14:ligatures w14:val="none"/>
        </w:rPr>
        <w:t xml:space="preserve">ДОГОВОР № </w:t>
      </w:r>
      <w:r w:rsidR="008855E6">
        <w:rPr>
          <w:rFonts w:ascii="Times New Roman" w:eastAsia="Times New Roman" w:hAnsi="Times New Roman" w:cs="Times New Roman"/>
          <w:color w:val="000000"/>
          <w:kern w:val="0"/>
          <w:sz w:val="20"/>
          <w:szCs w:val="20"/>
          <w:lang w:eastAsia="ru-RU"/>
          <w14:ligatures w14:val="none"/>
        </w:rPr>
        <w:t>________</w:t>
      </w:r>
    </w:p>
    <w:p w14:paraId="435E1CFF" w14:textId="77777777" w:rsidR="00AA43CE" w:rsidRPr="00AA43CE" w:rsidRDefault="00AA43CE" w:rsidP="00AA43CE">
      <w:pPr>
        <w:spacing w:after="0" w:line="240" w:lineRule="auto"/>
        <w:ind w:firstLine="480"/>
        <w:jc w:val="center"/>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выполнения работ по поверке (калибровке) средств измерений</w:t>
      </w:r>
    </w:p>
    <w:tbl>
      <w:tblPr>
        <w:tblW w:w="9923" w:type="dxa"/>
        <w:tblCellMar>
          <w:top w:w="15" w:type="dxa"/>
          <w:left w:w="15" w:type="dxa"/>
          <w:bottom w:w="15" w:type="dxa"/>
          <w:right w:w="15" w:type="dxa"/>
        </w:tblCellMar>
        <w:tblLook w:val="04A0" w:firstRow="1" w:lastRow="0" w:firstColumn="1" w:lastColumn="0" w:noHBand="0" w:noVBand="1"/>
      </w:tblPr>
      <w:tblGrid>
        <w:gridCol w:w="7513"/>
        <w:gridCol w:w="2410"/>
      </w:tblGrid>
      <w:tr w:rsidR="00AA43CE" w:rsidRPr="00AA43CE" w14:paraId="150923EC" w14:textId="77777777" w:rsidTr="00932470">
        <w:tc>
          <w:tcPr>
            <w:tcW w:w="7513" w:type="dxa"/>
            <w:vAlign w:val="center"/>
            <w:hideMark/>
          </w:tcPr>
          <w:p w14:paraId="0C8B4C10"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г. Астрахань</w:t>
            </w:r>
          </w:p>
        </w:tc>
        <w:tc>
          <w:tcPr>
            <w:tcW w:w="2410" w:type="dxa"/>
            <w:vAlign w:val="center"/>
            <w:hideMark/>
          </w:tcPr>
          <w:p w14:paraId="56F1CB17" w14:textId="785E825C" w:rsidR="00AA43CE" w:rsidRPr="00AA43CE" w:rsidRDefault="008855E6" w:rsidP="00AA43CE">
            <w:pPr>
              <w:spacing w:after="0" w:line="240" w:lineRule="auto"/>
              <w:jc w:val="right"/>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w:t>
            </w:r>
            <w:r w:rsidR="00AA43CE" w:rsidRPr="00AA43CE">
              <w:rPr>
                <w:rFonts w:ascii="Times New Roman" w:eastAsia="Times New Roman" w:hAnsi="Times New Roman" w:cs="Times New Roman"/>
                <w:kern w:val="0"/>
                <w:sz w:val="16"/>
                <w:szCs w:val="16"/>
                <w:lang w:eastAsia="ru-RU"/>
                <w14:ligatures w14:val="none"/>
              </w:rPr>
              <w:t xml:space="preserve"> </w:t>
            </w:r>
            <w:r>
              <w:rPr>
                <w:rFonts w:ascii="Times New Roman" w:eastAsia="Times New Roman" w:hAnsi="Times New Roman" w:cs="Times New Roman"/>
                <w:kern w:val="0"/>
                <w:sz w:val="16"/>
                <w:szCs w:val="16"/>
                <w:lang w:eastAsia="ru-RU"/>
                <w14:ligatures w14:val="none"/>
              </w:rPr>
              <w:t>______</w:t>
            </w:r>
            <w:r w:rsidR="00AA43CE" w:rsidRPr="00AA43CE">
              <w:rPr>
                <w:rFonts w:ascii="Times New Roman" w:eastAsia="Times New Roman" w:hAnsi="Times New Roman" w:cs="Times New Roman"/>
                <w:kern w:val="0"/>
                <w:sz w:val="16"/>
                <w:szCs w:val="16"/>
                <w:lang w:eastAsia="ru-RU"/>
                <w14:ligatures w14:val="none"/>
              </w:rPr>
              <w:t xml:space="preserve"> 202</w:t>
            </w:r>
            <w:r>
              <w:rPr>
                <w:rFonts w:ascii="Times New Roman" w:eastAsia="Times New Roman" w:hAnsi="Times New Roman" w:cs="Times New Roman"/>
                <w:kern w:val="0"/>
                <w:sz w:val="16"/>
                <w:szCs w:val="16"/>
                <w:lang w:eastAsia="ru-RU"/>
                <w14:ligatures w14:val="none"/>
              </w:rPr>
              <w:t>__</w:t>
            </w:r>
            <w:r w:rsidR="00AA43CE" w:rsidRPr="00AA43CE">
              <w:rPr>
                <w:rFonts w:ascii="Times New Roman" w:eastAsia="Times New Roman" w:hAnsi="Times New Roman" w:cs="Times New Roman"/>
                <w:kern w:val="0"/>
                <w:sz w:val="16"/>
                <w:szCs w:val="16"/>
                <w:lang w:eastAsia="ru-RU"/>
                <w14:ligatures w14:val="none"/>
              </w:rPr>
              <w:t> г.</w:t>
            </w:r>
          </w:p>
        </w:tc>
      </w:tr>
    </w:tbl>
    <w:p w14:paraId="1AB3E4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p w14:paraId="0244C10E" w14:textId="7371EED6"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ФЕДЕРАЛЬНОЕ БЮДЖЕТНОЕ УЧРЕЖДЕНИЕ "ГОСУДАРСТВЕННЫЙ РЕГИОНАЛЬНЫЙ ЦЕНТР СТАНДАРТИЗАЦИИ, МЕТРОЛОГИИ И ИСПЫТАНИЙ В АСТРАХАНСКОЙ ОБЛАСТИ И РЕСПУБЛИКЕ КАЛМЫКИЯ", аккредитованное для выполнения работ по поверке средств измерений (номер записи в реестре аккредитованных лиц RA.RU.311475), именуемое в дальнейшем «Исполнитель», в лице Начальника отдела Винник Илоны Валериевны</w:t>
      </w:r>
      <w:r w:rsidR="006178C0">
        <w:rPr>
          <w:rFonts w:ascii="Times New Roman" w:eastAsia="Times New Roman" w:hAnsi="Times New Roman" w:cs="Times New Roman"/>
          <w:color w:val="EE0000"/>
          <w:kern w:val="0"/>
          <w:sz w:val="16"/>
          <w:szCs w:val="16"/>
          <w:lang w:eastAsia="ru-RU"/>
          <w14:ligatures w14:val="none"/>
        </w:rPr>
        <w:t>*</w:t>
      </w:r>
      <w:r w:rsidR="006178C0">
        <w:rPr>
          <w:rFonts w:ascii="Times New Roman" w:eastAsia="Times New Roman" w:hAnsi="Times New Roman" w:cs="Times New Roman"/>
          <w:kern w:val="0"/>
          <w:sz w:val="16"/>
          <w:szCs w:val="16"/>
          <w:lang w:eastAsia="ru-RU"/>
          <w14:ligatures w14:val="none"/>
        </w:rPr>
        <w:t xml:space="preserve">, </w:t>
      </w:r>
      <w:r w:rsidRPr="00AA43CE">
        <w:rPr>
          <w:rFonts w:ascii="Times New Roman" w:eastAsia="Times New Roman" w:hAnsi="Times New Roman" w:cs="Times New Roman"/>
          <w:color w:val="000000"/>
          <w:kern w:val="0"/>
          <w:sz w:val="16"/>
          <w:szCs w:val="16"/>
          <w:lang w:eastAsia="ru-RU"/>
          <w14:ligatures w14:val="none"/>
        </w:rPr>
        <w:t>действующего на основании Доверенности №04-01/691 от 02.03.2026 г</w:t>
      </w:r>
      <w:r w:rsidR="008855E6">
        <w:rPr>
          <w:rFonts w:ascii="Times New Roman" w:eastAsia="Times New Roman" w:hAnsi="Times New Roman" w:cs="Times New Roman"/>
          <w:color w:val="000000"/>
          <w:kern w:val="0"/>
          <w:sz w:val="16"/>
          <w:szCs w:val="16"/>
          <w:lang w:eastAsia="ru-RU"/>
          <w14:ligatures w14:val="none"/>
        </w:rPr>
        <w:t>²</w:t>
      </w:r>
      <w:r w:rsidRPr="00AA43CE">
        <w:rPr>
          <w:rFonts w:ascii="Times New Roman" w:eastAsia="Times New Roman" w:hAnsi="Times New Roman" w:cs="Times New Roman"/>
          <w:color w:val="000000"/>
          <w:kern w:val="0"/>
          <w:sz w:val="16"/>
          <w:szCs w:val="16"/>
          <w:lang w:eastAsia="ru-RU"/>
          <w14:ligatures w14:val="none"/>
        </w:rPr>
        <w:t xml:space="preserve">., с одной стороны, и </w:t>
      </w:r>
      <w:r w:rsidR="008855E6">
        <w:rPr>
          <w:rFonts w:ascii="Times New Roman" w:eastAsia="Times New Roman" w:hAnsi="Times New Roman" w:cs="Times New Roman"/>
          <w:color w:val="000000"/>
          <w:kern w:val="0"/>
          <w:sz w:val="16"/>
          <w:szCs w:val="16"/>
          <w:lang w:eastAsia="ru-RU"/>
          <w14:ligatures w14:val="none"/>
        </w:rPr>
        <w:t>___________</w:t>
      </w:r>
      <w:r w:rsidRPr="00AA43CE">
        <w:rPr>
          <w:rFonts w:ascii="Times New Roman" w:eastAsia="Times New Roman" w:hAnsi="Times New Roman" w:cs="Times New Roman"/>
          <w:color w:val="000000"/>
          <w:kern w:val="0"/>
          <w:sz w:val="16"/>
          <w:szCs w:val="16"/>
          <w:lang w:eastAsia="ru-RU"/>
          <w14:ligatures w14:val="none"/>
        </w:rPr>
        <w:t>, именуемое в дальнейшем «Заказчик», в лице </w:t>
      </w:r>
      <w:r w:rsidR="008855E6">
        <w:rPr>
          <w:rFonts w:ascii="Times New Roman" w:eastAsia="Times New Roman" w:hAnsi="Times New Roman" w:cs="Times New Roman"/>
          <w:color w:val="000000"/>
          <w:kern w:val="0"/>
          <w:sz w:val="16"/>
          <w:szCs w:val="16"/>
          <w:lang w:eastAsia="ru-RU"/>
          <w14:ligatures w14:val="none"/>
        </w:rPr>
        <w:t>__________________</w:t>
      </w:r>
      <w:r w:rsidRPr="00AA43CE">
        <w:rPr>
          <w:rFonts w:ascii="Times New Roman" w:eastAsia="Times New Roman" w:hAnsi="Times New Roman" w:cs="Times New Roman"/>
          <w:color w:val="000000"/>
          <w:kern w:val="0"/>
          <w:sz w:val="16"/>
          <w:szCs w:val="16"/>
          <w:lang w:eastAsia="ru-RU"/>
          <w14:ligatures w14:val="none"/>
        </w:rPr>
        <w:t xml:space="preserve">, действующего на основании </w:t>
      </w:r>
      <w:r w:rsidR="008855E6">
        <w:rPr>
          <w:rFonts w:ascii="Times New Roman" w:eastAsia="Times New Roman" w:hAnsi="Times New Roman" w:cs="Times New Roman"/>
          <w:color w:val="000000"/>
          <w:kern w:val="0"/>
          <w:sz w:val="16"/>
          <w:szCs w:val="16"/>
          <w:lang w:eastAsia="ru-RU"/>
          <w14:ligatures w14:val="none"/>
        </w:rPr>
        <w:t>_______________</w:t>
      </w:r>
      <w:r w:rsidRPr="00AA43CE">
        <w:rPr>
          <w:rFonts w:ascii="Times New Roman" w:eastAsia="Times New Roman" w:hAnsi="Times New Roman" w:cs="Times New Roman"/>
          <w:color w:val="000000"/>
          <w:kern w:val="0"/>
          <w:sz w:val="16"/>
          <w:szCs w:val="16"/>
          <w:lang w:eastAsia="ru-RU"/>
          <w14:ligatures w14:val="none"/>
        </w:rPr>
        <w:t xml:space="preserve">, с другой стороны (далее Стороны), заключили настоящий договор на основании п. </w:t>
      </w:r>
      <w:r w:rsidR="008855E6">
        <w:rPr>
          <w:rFonts w:ascii="Times New Roman" w:eastAsia="Times New Roman" w:hAnsi="Times New Roman" w:cs="Times New Roman"/>
          <w:color w:val="000000"/>
          <w:kern w:val="0"/>
          <w:sz w:val="16"/>
          <w:szCs w:val="16"/>
          <w:lang w:eastAsia="ru-RU"/>
          <w14:ligatures w14:val="none"/>
        </w:rPr>
        <w:t>__</w:t>
      </w:r>
      <w:r w:rsidRPr="00AA43CE">
        <w:rPr>
          <w:rFonts w:ascii="Times New Roman" w:eastAsia="Times New Roman" w:hAnsi="Times New Roman" w:cs="Times New Roman"/>
          <w:color w:val="000000"/>
          <w:kern w:val="0"/>
          <w:sz w:val="16"/>
          <w:szCs w:val="16"/>
          <w:lang w:eastAsia="ru-RU"/>
          <w14:ligatures w14:val="none"/>
        </w:rPr>
        <w:t xml:space="preserve"> ч. 1 ст. 93 Федерального Закона № 44-ФЗ «О контрактной системе в сфере закупок товаров, работ, услуг для обеспечения государственных и муниципальных нужд» от 05 апреля 2013 г. о нижеследующем: </w:t>
      </w:r>
    </w:p>
    <w:p w14:paraId="22AEE67E"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 ПРЕДМЕТ ДОГОВОРА</w:t>
      </w:r>
    </w:p>
    <w:p w14:paraId="2ACD304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 ИСПОЛНИТЕЛЬ принимает на себя по поручению ЗАКАЗЧИКА обязательства по выполнению работ по поверке (калибровке) средств измерений (СИ) (далее – работы), предоставленных ЗАКАЗЧИКОМ согласно спецификации (приложение № 1), являющейся неотъемлемой частью настоящего договора, а ЗАКАЗЧИК обязуется оплатить и принять результаты работы.</w:t>
      </w:r>
    </w:p>
    <w:p w14:paraId="1CC2606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1.2. Работы по договору оказываются ИСПОЛНИТЕЛЕМ в соответствии с Федеральным</w:t>
      </w:r>
    </w:p>
    <w:p w14:paraId="67F9EB6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законом от 26.06.2008 № 102-ФЗ «Об обеспечении единства измерений» и иными действующими нормативно-правовыми актами Российской Федерации в области обеспечения единства измерений и утвержденными методиками поверки (калибровки) СИ.</w:t>
      </w:r>
    </w:p>
    <w:p w14:paraId="79C86B9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1.3. Идентификационный код закупки ___________________________.</w:t>
      </w:r>
    </w:p>
    <w:p w14:paraId="18D3666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1.4. Работы по договору оказываются ИСПОЛНИТЕЛЕМ в соответствии с Федеральным законом от 26.06.2008 № 102-ФЗ «Об обеспечении единства измерений» и иными действующими нормативно-правовыми актами Российской Федерации в области обеспечения единства измерений и утвержденными методиками поверки (калибровки) СИ.</w:t>
      </w:r>
    </w:p>
    <w:p w14:paraId="010C574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СИ утвержденного типа подлежат поверке или по заявке Заказчика калибровке. СИ, тип которых не утвержден, подлежат калибровке. Испытательное оборудование, создающее и (или) поддерживающее те или иные условия с установленными границами погрешности, подлежат аттестации с выдачей аттестата при первичной аттестации и протокола при периодической аттестации. </w:t>
      </w:r>
    </w:p>
    <w:p w14:paraId="517C50A6"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2. СУММА ДОГОВОРА И ПОРЯДОК РАСЧЕТОВ</w:t>
      </w:r>
    </w:p>
    <w:p w14:paraId="292EC9B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2.1. Стоимость работ определяется в соответствии с действующим на момент проведения работ Прейскурантом цен ИСПОЛНИТЕЛЯ (размещенным на официальном сайте ИСПОЛНИТЕЛЯ: www.astcsm.ru), Постановлением Правительства от 22.12.2009 г. № 1057 «О порядке оплаты работ и (или) услуг по обеспечению единства измерений по регулируемым ценам». Стоимость работ по настоящему договору облагается НДС по ставке 22%.</w:t>
      </w:r>
    </w:p>
    <w:p w14:paraId="02FC8B5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2.1.1. Стоимость работ составляет: 19 032 руб. (Девятнадцать тысяч тридцать два рубля 00 копеек), в том числе НДС-22% 3 432 руб. (Три тысячи четыреста тридцать два рубля 00 копеек).</w:t>
      </w:r>
    </w:p>
    <w:p w14:paraId="2D7AE5C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Цена настоящего договора определена в российских рублях, является фиксированной и не может изменяться в ходе  исполнения настоящего договора.</w:t>
      </w:r>
    </w:p>
    <w:p w14:paraId="5ECE7E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2.2. ЗАКАЗЧИК производит оплату в соответствии с объемом выполненных работ и по ценам, указанным в СПЕЦИФИКАЦИИ.</w:t>
      </w:r>
    </w:p>
    <w:p w14:paraId="32D333B8" w14:textId="7027B87D"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2.3. ЗАКАЗЧИК производит оплату ПО ФАКТУ выполненных работ в течение 10 рабочих дней с даты подписания СТОРОНАМИ универсального передаточного документа</w:t>
      </w:r>
      <w:r w:rsidR="008855E6">
        <w:rPr>
          <w:rFonts w:ascii="Times New Roman" w:eastAsia="Times New Roman" w:hAnsi="Times New Roman" w:cs="Times New Roman"/>
          <w:color w:val="000000"/>
          <w:kern w:val="0"/>
          <w:sz w:val="16"/>
          <w:szCs w:val="16"/>
          <w:lang w:eastAsia="ru-RU"/>
          <w14:ligatures w14:val="none"/>
        </w:rPr>
        <w:t xml:space="preserve"> </w:t>
      </w:r>
      <w:r w:rsidRPr="00AA43CE">
        <w:rPr>
          <w:rFonts w:ascii="Times New Roman" w:eastAsia="Times New Roman" w:hAnsi="Times New Roman" w:cs="Times New Roman"/>
          <w:color w:val="000000"/>
          <w:kern w:val="0"/>
          <w:sz w:val="16"/>
          <w:szCs w:val="16"/>
          <w:lang w:eastAsia="ru-RU"/>
          <w14:ligatures w14:val="none"/>
        </w:rPr>
        <w:t>(далее – УПД)</w:t>
      </w:r>
      <w:r w:rsidR="008855E6" w:rsidRPr="008855E6">
        <w:rPr>
          <w:rFonts w:ascii="Times New Roman" w:eastAsia="Times New Roman" w:hAnsi="Times New Roman" w:cs="Times New Roman"/>
          <w:color w:val="000000"/>
          <w:kern w:val="0"/>
          <w:sz w:val="16"/>
          <w:szCs w:val="16"/>
          <w:lang w:eastAsia="ru-RU"/>
          <w14:ligatures w14:val="none"/>
        </w:rPr>
        <w:t xml:space="preserve"> </w:t>
      </w:r>
      <w:r w:rsidR="008855E6">
        <w:rPr>
          <w:rFonts w:ascii="Times New Roman" w:eastAsia="Times New Roman" w:hAnsi="Times New Roman" w:cs="Times New Roman"/>
          <w:color w:val="000000"/>
          <w:kern w:val="0"/>
          <w:sz w:val="16"/>
          <w:szCs w:val="16"/>
          <w:lang w:eastAsia="ru-RU"/>
          <w14:ligatures w14:val="none"/>
        </w:rPr>
        <w:t>со статусом 1</w:t>
      </w:r>
      <w:r w:rsidRPr="00AA43CE">
        <w:rPr>
          <w:rFonts w:ascii="Times New Roman" w:eastAsia="Times New Roman" w:hAnsi="Times New Roman" w:cs="Times New Roman"/>
          <w:color w:val="000000"/>
          <w:kern w:val="0"/>
          <w:sz w:val="16"/>
          <w:szCs w:val="16"/>
          <w:lang w:eastAsia="ru-RU"/>
          <w14:ligatures w14:val="none"/>
        </w:rPr>
        <w:t>.</w:t>
      </w:r>
    </w:p>
    <w:p w14:paraId="6B73E39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Заказчик оплачивает работы по поверке, проведенной с положительным результатом, а также работы, проведенные с отрицательным результатом (по которым выписываются извещения о непригодности к применению средства измерений).</w:t>
      </w:r>
    </w:p>
    <w:p w14:paraId="57EE4E0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2.4. При необходимости срочного обслуживания со сроком исполнения:</w:t>
      </w:r>
    </w:p>
    <w:p w14:paraId="6C3525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до 3-х дней (за исключением СИ, поверка которых превышает этот срок) к стоимости работ устанавливается надбавка за срочность в размере 50%;</w:t>
      </w:r>
    </w:p>
    <w:p w14:paraId="4DFA3A4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в течение 1 (одного) рабочего дня (за исключением СИ, поверка которых превышает этот срок) к стоимости работ устанавливается надбавка за срочность в размере 100%.</w:t>
      </w:r>
    </w:p>
    <w:p w14:paraId="139B334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Выполнение работ со сроком исполнения до 3-х дней и 1 (один) рабочий день проводится ИСПОЛНИТЕЛЕМ по письменному обращению ЗАКАЗЧИКА.</w:t>
      </w:r>
    </w:p>
    <w:p w14:paraId="440AF113"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3. ПРАВА И ОБЯЗАННОСТИ СТОРОН</w:t>
      </w:r>
    </w:p>
    <w:p w14:paraId="72CF4E4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 ИСПОЛНИТЕЛЬ обязуется:</w:t>
      </w:r>
    </w:p>
    <w:p w14:paraId="15FAD49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3.1.1. Качественно выполнить работы в объемах, указанных в спецификации.</w:t>
      </w:r>
    </w:p>
    <w:p w14:paraId="52BB1DD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3.1.2. Принимать и проводить поверку СИ согласно спецификации. При проведении калибровки СИ дать рекомендации о периодичности проведения калибровки.</w:t>
      </w:r>
    </w:p>
    <w:p w14:paraId="6F74B1A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3.1.3. Принимать СИ предоставленные ЗАКАЗЧИКОМ для проведения работ в отделе приемки СИ ИСПОЛНИТЕЛЯ, с оформлением счета, заявления-квитанции и приложения к заявлению. Дата сдачи СИ при проведении работ в лабораториях ИСПОЛНИТЕЛЯ указывается в приложении к заявлению.</w:t>
      </w:r>
    </w:p>
    <w:p w14:paraId="6AD0006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3.1.4. При проведении работ на территории ИСПОЛНИТЕЛЯ проводить работы в течение 15 рабочих дней со дня предоставления ИСПОЛНИТЕЛЮ СИ, за исключением СИ, поверка (калибровка) которых превышает этот срок. ИСПОЛНИТЕЛЬ оставляет за собой право увеличивать срок поверки (калибровки) соразмерно времени необходимого для прохождения периодической поверки собственных эталонов. Срок выполнения работ может быть продлен:</w:t>
      </w:r>
    </w:p>
    <w:p w14:paraId="48AC33D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на срок нахождения эталонов Исполнителя в организациях, выполняющих их поверку;</w:t>
      </w:r>
    </w:p>
    <w:p w14:paraId="114D1FB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на время предоставления Заказчиком методики поверки, необходимых комплектующих устройств;</w:t>
      </w:r>
    </w:p>
    <w:p w14:paraId="56C65ED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если применяемыми методиками поверки предусмотрены иные сроки поверки.</w:t>
      </w:r>
    </w:p>
    <w:p w14:paraId="133109C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При проведении работ на территории ЗАКАЗЧИКА проводить работы в сроки, согласованные сторонами.</w:t>
      </w:r>
    </w:p>
    <w:p w14:paraId="5B51604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3.1.5. Периодическая поверка средств измерений, предназначенных для измерений нескольких величин или имеющих несколько поддиапазонов измерений, проводится на основании письменного заявления владельца при условии наличия соответствующих указаний в методике поверки для СИ, выпущенных после 18 ноября 2018 года, или только на основании письменного заявления для СИ, выпущенных до 18 ноября 2018 года. Сведения, включенные в ФИФ ОЕИ должны содержать информацию об объеме проведенной поверки.</w:t>
      </w:r>
    </w:p>
    <w:p w14:paraId="5BE6573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3.1.6. Датой выполнения работ считается дата оформления УПД, а в случае мотивированного отказа от приемки работ (услуг) – дата устранения недостатков.</w:t>
      </w:r>
    </w:p>
    <w:p w14:paraId="2EAD666D" w14:textId="77777777" w:rsid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3.1.7. По итогам поверки признать СИ пригодными или непригодными к применению в сфере государственного регулирования обеспечения единства измерений. Результаты поверки СИ подтверждаются сведениями, включенными в Федеральный информационный фонд по обеспечению единства измерений (ФИФ ОЕИ). Сроки передачи результатов поверки в ФИФ ОЕИ определяются в соответствии с действующим законодательством. Исполнитель не несет ответственности перед Заказчиком за действия оператора ФИФ ОЕИ.</w:t>
      </w:r>
    </w:p>
    <w:p w14:paraId="36F75F63" w14:textId="77777777" w:rsidR="00A2546D" w:rsidRPr="00AA43CE" w:rsidRDefault="00A2546D"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p>
    <w:p w14:paraId="4D3F1DF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 xml:space="preserve">По заявлению владельца средства измерений или лица, представившего его на поверку, на средство измерений нанести знак поверки, и (или) выдать свидетельство о поверке средства измерений, и (или) в паспорт (формуляр) средства измерений внести запись о проведенной поверке, заверяемой подписью </w:t>
      </w:r>
      <w:proofErr w:type="spellStart"/>
      <w:r w:rsidRPr="00AA43CE">
        <w:rPr>
          <w:rFonts w:ascii="Times New Roman" w:eastAsia="Times New Roman" w:hAnsi="Times New Roman" w:cs="Times New Roman"/>
          <w:color w:val="000000"/>
          <w:kern w:val="0"/>
          <w:sz w:val="16"/>
          <w:szCs w:val="16"/>
          <w:lang w:eastAsia="ru-RU"/>
          <w14:ligatures w14:val="none"/>
        </w:rPr>
        <w:t>поверителя</w:t>
      </w:r>
      <w:proofErr w:type="spellEnd"/>
      <w:r w:rsidRPr="00AA43CE">
        <w:rPr>
          <w:rFonts w:ascii="Times New Roman" w:eastAsia="Times New Roman" w:hAnsi="Times New Roman" w:cs="Times New Roman"/>
          <w:color w:val="000000"/>
          <w:kern w:val="0"/>
          <w:sz w:val="16"/>
          <w:szCs w:val="16"/>
          <w:lang w:eastAsia="ru-RU"/>
          <w14:ligatures w14:val="none"/>
        </w:rPr>
        <w:t xml:space="preserve"> и знаком поверки, с указанием даты поверки, или выдать извещение о непригодности к применению средства измерений.</w:t>
      </w:r>
    </w:p>
    <w:p w14:paraId="096D79A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Заказчик, являющийся владельцем СИ или действующий от имени владельца СИ, подписывая настоящий договор, дает согласие на передачу сведений о владельце СИ в ФИФ ОЕИ.</w:t>
      </w:r>
    </w:p>
    <w:p w14:paraId="47E1BFB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3.1.8. Информация о готовности СИ и результатах поверки (калибровки) может быть получена по средствам кнопки «Статус заказа» на главной странице официального сайта Исполнителя www.astcsm.ru, по контактному телефону отдела приемки СИ: (8512) 36-92-18, либо по письменному обращению по электронному адресу: acsm_otdelsi@bk.ru.</w:t>
      </w:r>
    </w:p>
    <w:p w14:paraId="3A8559A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3.1.9. Обеспечить сохранность переданных СИ в течение срока выполнения работ и одного месяца после их окончания. Исполнитель безвозмездно хранит СИ в течение одного месяца с момента окончания работ, а по истечению данного срока, к отношениям Сторон применяются положения пункта 3.4.6. настоящего Договора.</w:t>
      </w:r>
    </w:p>
    <w:p w14:paraId="28CC30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 ЗАКАЗЧИК обязуется:</w:t>
      </w:r>
    </w:p>
    <w:p w14:paraId="3C6050F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3.2.1. Своевременно оплатить выполненные ИСПОЛНИТЕЛЕМ работы в размере и в сроки, указанные в разделе 2 настоящего договора.</w:t>
      </w:r>
    </w:p>
    <w:p w14:paraId="560FC74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3.2.2. Подписать УПД в сроки, определенные п. 4.1 настоящего договора.</w:t>
      </w:r>
    </w:p>
    <w:p w14:paraId="365E13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3.2.3. Представлять на поверку (калибровку) СИ, имеющие однозначную идентификацию каждого экземпляра, которая может быть обеспечена наличием заводского, серийного номера или другого цифробуквенного обозначения на средстве измерений.</w:t>
      </w:r>
    </w:p>
    <w:p w14:paraId="522DE4C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3.2.4. СИ представляются на поверку (калибровку)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w:t>
      </w:r>
    </w:p>
    <w:p w14:paraId="45AE5CB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xml:space="preserve">В случае, если Заказчик имеет паспорт на СИ, но не представляет его при сдаче СИ в поверку, </w:t>
      </w:r>
      <w:proofErr w:type="spellStart"/>
      <w:r w:rsidRPr="00AA43CE">
        <w:rPr>
          <w:rFonts w:ascii="Times New Roman" w:eastAsia="Times New Roman" w:hAnsi="Times New Roman" w:cs="Times New Roman"/>
          <w:color w:val="000000"/>
          <w:kern w:val="0"/>
          <w:sz w:val="16"/>
          <w:szCs w:val="16"/>
          <w:lang w:eastAsia="ru-RU"/>
          <w14:ligatures w14:val="none"/>
        </w:rPr>
        <w:t>поверитель</w:t>
      </w:r>
      <w:proofErr w:type="spellEnd"/>
      <w:r w:rsidRPr="00AA43CE">
        <w:rPr>
          <w:rFonts w:ascii="Times New Roman" w:eastAsia="Times New Roman" w:hAnsi="Times New Roman" w:cs="Times New Roman"/>
          <w:color w:val="000000"/>
          <w:kern w:val="0"/>
          <w:sz w:val="16"/>
          <w:szCs w:val="16"/>
          <w:lang w:eastAsia="ru-RU"/>
          <w14:ligatures w14:val="none"/>
        </w:rPr>
        <w:t xml:space="preserve"> вправе установить номер в государственном реестре на основании сведений, указанных в описании типа и не вносить в дальнейшем изменения в сведения, опубликованные в Федеральном информационном фонде ФГИС Аршин. В случае, если паспорт СИ представлен после окончания процедуры поверки, услуга оказывается повторно и оплачивается в соответствии с действующим Прейскурантом.</w:t>
      </w:r>
    </w:p>
    <w:p w14:paraId="4D26C73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3.2.5.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63B49B4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3.2.6 СИ, эксплуатируемые в (на) агрессивных (специальных) средах, должны представляться на поверку обеззараженными, нейтрализованными, дезактивированными. Указанные в настоящем пункте СИ принимаются на поверку только при наличии справки, подтверждающей выполнение владельцем СИ необходимых мероприятий по обеззараживанию, нейтрализации, дезактивации.</w:t>
      </w:r>
    </w:p>
    <w:p w14:paraId="22B61C5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3.2.7. Получить СИ по окончании выполнения работ, проведенных в лабораториях ИСПОЛНИТЕЛЯ, в течение 15 календарных дней после подписания УПД.</w:t>
      </w:r>
    </w:p>
    <w:p w14:paraId="3F6AAAE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3.2.8. В случае выполнения работ на территории ЗАКАЗЧИКА, последний обязуется обеспечить ИСПОЛНИТЕЛЮ надлежащие условия работы, при необходимости – возможность использования эталонов, поверочного и вспомогательного оборудования, принадлежащих ЗАКАЗЧИКУ.</w:t>
      </w:r>
    </w:p>
    <w:p w14:paraId="7A2BEDB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3.2.9. Сдать СИ с оформлением описи, включающей сведения о передаваемых документах, вспомогательном оборудовании.</w:t>
      </w:r>
    </w:p>
    <w:p w14:paraId="024C228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 ЗАКАЗЧИК вправе:</w:t>
      </w:r>
    </w:p>
    <w:p w14:paraId="3DD4AD9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3.3.1.Расторгнуть Договор в одностороннем порядке и потребовать возмещения убытков, если Исполнитель не исполняет или ненадлежащим образом исполняет свои обязательства по настоящему Договору.</w:t>
      </w:r>
    </w:p>
    <w:p w14:paraId="2313737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3.3.2. Провести экспертизу выполненных работ для проверки их соответствия условиям настоящего договора в соответствии с Федеральным законом от 05 апреля 2013 г. N 44-ФЗ «О контрактной системе в сфере закупок товаров, работ, услуг для обеспечения государственных и муниципальных нужд».</w:t>
      </w:r>
    </w:p>
    <w:p w14:paraId="3C405F6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 ИСПОЛНИТЕЛЬ вправе:</w:t>
      </w:r>
    </w:p>
    <w:p w14:paraId="0C99232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3.4.1. Требовать оплаты за выполненные работы.</w:t>
      </w:r>
    </w:p>
    <w:p w14:paraId="69E73BA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3.4.2. Получать от ЗАКАЗЧИКА любую информацию и документацию, необходимую для выполнения своих обязательств по Договору.</w:t>
      </w:r>
    </w:p>
    <w:p w14:paraId="66E777D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3.4.3. В случае непредставления либо неполного или неверного представления ЗАКАЗЧИКОМ информации и/или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и/или документации.</w:t>
      </w:r>
    </w:p>
    <w:p w14:paraId="58EE341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3.4.4. Привлекать для выполнения работ в целом или в части третьих лиц, без предварительного согласования с ЗАКАЗЧИКОМ.</w:t>
      </w:r>
    </w:p>
    <w:p w14:paraId="4551829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3.4.5. В связи с тем, что возможность передачи и объём сведений о результатах поверки, передаваемых Исполнителем в ФИФ ОЕИ, определяется оператором ФИФ ОЕИ через обновление модуля ПО ФГИС «АРШИН», не принимать в поверку СИ, и возвращать принятое СИ без поверки, если сведения о результатах поверки такого СИ не могут быть переданы в ФГИС «АРШИН» по обстоятельствам, связанным с действиями оператора ФИФ ОЕИ, условиями ввода и передачи информации модуля ПО ФГИС «АРШИН», отсутствием необходимых характеристик самого СИ.</w:t>
      </w:r>
    </w:p>
    <w:p w14:paraId="630CB19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3.4.6. По истечению 3 (трех) месяцев с начала хранения СИ, испытательного оборудования в соответствии с пунктом 3.1.7 настоящего Договора, если Заказчик не забрал СИ, испытательное оборудование в установленный срок и сторонами не согласована отправка СИ, испытательного оборудования Исполнителем, провести утилизацию СИ, испытательного оборудования.</w:t>
      </w:r>
    </w:p>
    <w:p w14:paraId="79054DDC"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4. ПОРЯДОК СДАЧИ И ПРИЕМКИ РАБОТ</w:t>
      </w:r>
    </w:p>
    <w:p w14:paraId="5B88DB9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4.1. Подтверждением выполнения работ является предоставляемый ИСПОЛНИТЕЛЕМ УПД, составленный в двух экземплярах, по одному экземпляру для каждой из СТОРОН. Заказчик обязан в течение 10 (десяти) рабочих дней с момента получения УПД подписать УПД и вернуть один экземпляр ИСПОЛНИТЕЛЮ или направить в адрес ИСПОЛНИТЕЛЯ мотивированный письменный отказ.</w:t>
      </w:r>
    </w:p>
    <w:p w14:paraId="2C5E2F6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4.2. В случае, если ЗАКАЗЧИК не подписывает УПД или не предоставляет мотивированный отказ в приемке выполненных работ (услуг) в письменном виде в течение 10 (десяти) рабочих дней, ИСПОЛНИТЕЛЬ в одностороннем порядке оформляет УПД, который СТОРОНЫ признают действительным и имеющим юридическую силу.</w:t>
      </w:r>
    </w:p>
    <w:p w14:paraId="344DC8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4.3. С момента подписания УПД, а также в случае, указанном в п. 4.2 настоящего договора, ЗАКАЗЧИК не вправе предъявлять претензии, связанные с качеством выполненных работ, а ИСПОЛНИТЕЛЬ полученные претензии не рассматривает.</w:t>
      </w:r>
    </w:p>
    <w:p w14:paraId="270D0708"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5. ЭЛЕКТРОННЫЙ ДОКУМЕНТООБОРОТ</w:t>
      </w:r>
    </w:p>
    <w:p w14:paraId="39D396E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5.1.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w:t>
      </w:r>
    </w:p>
    <w:p w14:paraId="0551AD7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5.2. Оператором электронной системы документооборота, используемой Исполнителем для осуществления обмена информацией в электронном виде, является АО "Калуга Астрал" идентификатор: 2AE9A26975B-CAD0-4FCE-AE1A-0AB20BB4E08D. Правила работы в «1С: ЭДО» установлены Оператором ЭДО».</w:t>
      </w:r>
    </w:p>
    <w:p w14:paraId="2979280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УПД на бумажном носителе.  </w:t>
      </w:r>
    </w:p>
    <w:p w14:paraId="2801F81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5.4.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усиленной квалифицированной электронной подписью, наравне с документами на бумажном носителе.</w:t>
      </w:r>
    </w:p>
    <w:p w14:paraId="6E97C99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5.5. Стороны обязаны информировать друг друга о невозможности обмена документами в электронном виде, пописанными квалифицированной ЭЦП, в случае технического сбоя внутренних систем. При этом в период действия такого сбоя Стороны производят обмен документами на бумажном носителе с подписанием собственноручной подписью.</w:t>
      </w:r>
    </w:p>
    <w:p w14:paraId="501CD4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5.6.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14:paraId="7D1EC84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5.7. При применении Сторонами электронного документооборота запрещается дублирование документов на бумажном носителе.</w:t>
      </w:r>
    </w:p>
    <w:p w14:paraId="20F602C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5.8. 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14:paraId="18D5E5D0"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6. ОТВЕТСТВЕННОСТЬ  СТОРОН</w:t>
      </w:r>
    </w:p>
    <w:p w14:paraId="60DE1BA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 За нарушение условий настоящего договора, неисполнение или ненадлежащее исполнение принятых на себя обязательств по настоящему договору, стороны несут ответственность в порядке, предусмотренном действующим законодательством Российской Федерации.</w:t>
      </w:r>
    </w:p>
    <w:p w14:paraId="43D7AD4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41EA3C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6.3.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67DEB3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6.4.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30.08.2017г. № 1042 в размере 10 процентов цены контракта и составляет ______________ рублей.</w:t>
      </w:r>
    </w:p>
    <w:p w14:paraId="07B5D30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656EA8C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614D11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 </w:t>
      </w:r>
    </w:p>
    <w:p w14:paraId="6498474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 00 коп.</w:t>
      </w:r>
    </w:p>
    <w:p w14:paraId="40F46D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C14E73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6.10.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w:t>
      </w:r>
    </w:p>
    <w:p w14:paraId="48F840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76DE3EF8"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7. СРОК ДЕЙСТВИЯ ДОГОВОРА</w:t>
      </w:r>
    </w:p>
    <w:p w14:paraId="4722AF9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7.1. Настоящий договор вступает в силу с момента его заключения и действует до 30 декабря 2026 г., а в части исполнения денежных обязательств ЗАКАЗЧИКОМ договор действует до полного исполнения ЗАКАЗЧИКОМ своих обязательств. </w:t>
      </w:r>
    </w:p>
    <w:p w14:paraId="18B84699"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8. ДЕЙСТВИЕ НЕПРЕОДОЛИМОЙ СИЛЫ</w:t>
      </w:r>
    </w:p>
    <w:p w14:paraId="70791B4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8.1. Стороны освобождаются от ответственности за неисполнение или ненадлежащее исполнение обязательств по настоящему договору, в случае, если такое неисполнение (ненадлежащее исполнение) вызвано обстоятельствами непреодолимой силы природного и техногенного характера (форс-мажор).</w:t>
      </w:r>
    </w:p>
    <w:p w14:paraId="71180F0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8.2. К обстоятельствам непреодолимой силы (форс-мажор) относятся: наводнение, пожар, землетрясение и иные явления природы, войны, террористические акты; внезапные повреждения и поломки на предприятиях, на экономических объектах, которые произошли по причине внешних факторов или любые другие обстоятельства, которые Стороны не могли предвидеть и предотвратить. При этом не считается обстоятельством непреодолимой силы невыполнение своих обязательств контрагентами  сторон.</w:t>
      </w:r>
    </w:p>
    <w:p w14:paraId="4305DEE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 О наступлении и прекращении указанных обстоятельств стороны обязуются незамедлительно уведомить друг друга, в противном  случае, Сторона, ссылающаяся на обстоятельства непреодолимой силы, теряет право в дальнейшем ссылаться на эти обстоятельства как на основания освобождения от ответственности по настоящему договору. Обстоятельства непреодолимой силы должны быть подтверждены заключением компетентного государственного органа.</w:t>
      </w:r>
    </w:p>
    <w:p w14:paraId="53452F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8.3.1. 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уведомить об этом другую Сторону в письменной форме.</w:t>
      </w:r>
    </w:p>
    <w:p w14:paraId="204B0D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8.3.2.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14:paraId="7A5F3DB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8.3.3.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w:t>
      </w:r>
    </w:p>
    <w:p w14:paraId="32D0317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8.3.4. В том случае, если обстоятельства непреодолимой силы препятствуют одной из Сторон выполнить ее обязательства в течение срока, превышающего 3 (три) месяца, или если после их наступления выяснится, что они будут длится более 3 (трех)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w:t>
      </w:r>
    </w:p>
    <w:p w14:paraId="78063F86"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9. ИЗМЕНЕНИЕ УСЛОВИЙ, РАСТОРЖЕНИЕ ДОГОВОРА</w:t>
      </w:r>
    </w:p>
    <w:p w14:paraId="22BFF8B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9.1. Изменение существенных условий настоящего договора возможно в случаях, предусмотренных действующим законодательством Российской Федерации, в том числе:</w:t>
      </w:r>
    </w:p>
    <w:p w14:paraId="39B5098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 при снижении цены настоящего контракта без изменения предусмотренных настоящим контрактом объема услуги, качества оказываемой услуги и иных условий настоящего контракта;</w:t>
      </w:r>
    </w:p>
    <w:p w14:paraId="713A53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2) если по предложению Заказчика увеличивается предусмотренный настоящим контрактом объем услуги не более чем на десять процентов или уменьшается предусмотренный настоящим контрактом объем оказываемой услуги не более чем на десять процентов;</w:t>
      </w:r>
    </w:p>
    <w:p w14:paraId="65AFE90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88B7DB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9.2. Изменения и дополнения, вносимые в соответствии с действующим законодательством в настоящий договор, оформляются в письменном виде, и являются неотъемлемой частью настоящего договора.</w:t>
      </w:r>
    </w:p>
    <w:p w14:paraId="0A63D7D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9.3. В случае изменения платежных (банковских) реквизитов стороны обязаны письменно уведомить друг друга об этом в течение 5 (пяти) рабочих дней, путем направления уведомления подписанного уполномоченным представителем стороны (без оформления дополнительного соглашения).</w:t>
      </w:r>
    </w:p>
    <w:p w14:paraId="335B0EB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9.4. Настоящий договор может быть расторгнут в порядке, установленном действующим законодательством Российской Федерации.</w:t>
      </w:r>
    </w:p>
    <w:p w14:paraId="47507F9C"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10. АНТИКОРРУПЦИОННАЯ ОГОВОРКА</w:t>
      </w:r>
    </w:p>
    <w:p w14:paraId="763C6A8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коррупции</w:t>
      </w:r>
    </w:p>
    <w:p w14:paraId="06D065C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10.2. В случае возникновения у Стороны подозрений, что произошло или может произойти нарушение требований, указанных в пункте 10.1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пункте 10.1 Договора.</w:t>
      </w:r>
    </w:p>
    <w:p w14:paraId="03DCA8B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Сторона, получившая уведомление,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340EA7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Сторона, получившая вышеуказанное уведомление, обязана рассмотреть уведомление и сообщить другой Стороне об итогах его рассмотрения в течение 20 (двадцати) рабочих дней со дня получения.</w:t>
      </w:r>
    </w:p>
    <w:p w14:paraId="2C6EBD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10.3. В случае нарушения одной из Сторон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p w14:paraId="2F76350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10.4. Стороны гарантируют конфиденциальность,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4DC34EA"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11. ПРОЧИЕ УСЛОВИЯ</w:t>
      </w:r>
    </w:p>
    <w:p w14:paraId="6EE6CEC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11.1. Все изменения и дополнения к настоящему договору имеют силу только в случае, если они оформлены в письменной форме и подписаны уполномоченными представителями СТОРОН.</w:t>
      </w:r>
    </w:p>
    <w:p w14:paraId="27974CA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p w14:paraId="7263C06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11.2. Споры, возникающие при исполнении настоящего договора, разрешаются путем переговоров. Если разногласия не могут быть решены путем переговоров, они разрешаются в претензионном порядке. Срок ответа на претензию – 30 календарных дней. В случае, если стороны не достигли согласия по изложенным вопросам путем взаимных переговоров, то они подлежат рассмотрению в Арбитражном суде Астраханской области.</w:t>
      </w:r>
    </w:p>
    <w:p w14:paraId="77DA5D8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11.3. Договор составлен в 2-х экземплярах, имеющих одинаковую юридическую силу, по одному экземпляру для каждой из СТОРОН.</w:t>
      </w:r>
    </w:p>
    <w:p w14:paraId="0F420F6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tbl>
      <w:tblPr>
        <w:tblW w:w="9986" w:type="dxa"/>
        <w:tblCellMar>
          <w:top w:w="15" w:type="dxa"/>
          <w:left w:w="15" w:type="dxa"/>
          <w:bottom w:w="15" w:type="dxa"/>
          <w:right w:w="15" w:type="dxa"/>
        </w:tblCellMar>
        <w:tblLook w:val="04A0" w:firstRow="1" w:lastRow="0" w:firstColumn="1" w:lastColumn="0" w:noHBand="0" w:noVBand="1"/>
      </w:tblPr>
      <w:tblGrid>
        <w:gridCol w:w="4678"/>
        <w:gridCol w:w="551"/>
        <w:gridCol w:w="4757"/>
      </w:tblGrid>
      <w:tr w:rsidR="00AA43CE" w:rsidRPr="00AA43CE" w14:paraId="0234DD47" w14:textId="77777777" w:rsidTr="006178C0">
        <w:tc>
          <w:tcPr>
            <w:tcW w:w="2342" w:type="pct"/>
            <w:vAlign w:val="center"/>
            <w:hideMark/>
          </w:tcPr>
          <w:p w14:paraId="7454DD44" w14:textId="77777777" w:rsidR="00AA43CE" w:rsidRPr="00AA43CE" w:rsidRDefault="00AA43CE" w:rsidP="00AA43CE">
            <w:pPr>
              <w:spacing w:after="0" w:line="240" w:lineRule="auto"/>
              <w:jc w:val="center"/>
              <w:rPr>
                <w:rFonts w:ascii="Times New Roman" w:eastAsia="Times New Roman" w:hAnsi="Times New Roman" w:cs="Times New Roman"/>
                <w:b/>
                <w:bCs/>
                <w:kern w:val="0"/>
                <w:sz w:val="16"/>
                <w:szCs w:val="16"/>
                <w:lang w:eastAsia="ru-RU"/>
                <w14:ligatures w14:val="none"/>
              </w:rPr>
            </w:pPr>
            <w:r w:rsidRPr="00AA43CE">
              <w:rPr>
                <w:rFonts w:ascii="Times New Roman" w:eastAsia="Times New Roman" w:hAnsi="Times New Roman" w:cs="Times New Roman"/>
                <w:b/>
                <w:bCs/>
                <w:kern w:val="0"/>
                <w:sz w:val="16"/>
                <w:szCs w:val="16"/>
                <w:lang w:eastAsia="ru-RU"/>
                <w14:ligatures w14:val="none"/>
              </w:rPr>
              <w:t>ИСПОЛНИТЕЛЬ:</w:t>
            </w:r>
          </w:p>
        </w:tc>
        <w:tc>
          <w:tcPr>
            <w:tcW w:w="276" w:type="pct"/>
            <w:vAlign w:val="center"/>
            <w:hideMark/>
          </w:tcPr>
          <w:p w14:paraId="76B98285"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vAlign w:val="center"/>
            <w:hideMark/>
          </w:tcPr>
          <w:p w14:paraId="45D11C3B" w14:textId="77777777" w:rsidR="00AA43CE" w:rsidRPr="00AA43CE" w:rsidRDefault="00AA43CE" w:rsidP="00AA43CE">
            <w:pPr>
              <w:spacing w:after="0" w:line="240" w:lineRule="auto"/>
              <w:jc w:val="center"/>
              <w:rPr>
                <w:rFonts w:ascii="Times New Roman" w:eastAsia="Times New Roman" w:hAnsi="Times New Roman" w:cs="Times New Roman"/>
                <w:b/>
                <w:bCs/>
                <w:kern w:val="0"/>
                <w:sz w:val="16"/>
                <w:szCs w:val="16"/>
                <w:lang w:eastAsia="ru-RU"/>
                <w14:ligatures w14:val="none"/>
              </w:rPr>
            </w:pPr>
            <w:r w:rsidRPr="00AA43CE">
              <w:rPr>
                <w:rFonts w:ascii="Times New Roman" w:eastAsia="Times New Roman" w:hAnsi="Times New Roman" w:cs="Times New Roman"/>
                <w:b/>
                <w:bCs/>
                <w:kern w:val="0"/>
                <w:sz w:val="16"/>
                <w:szCs w:val="16"/>
                <w:lang w:eastAsia="ru-RU"/>
                <w14:ligatures w14:val="none"/>
              </w:rPr>
              <w:t>ЗАКАЗЧИК:</w:t>
            </w:r>
          </w:p>
        </w:tc>
      </w:tr>
      <w:tr w:rsidR="00AA43CE" w:rsidRPr="00AA43CE" w14:paraId="11B69725" w14:textId="77777777" w:rsidTr="006178C0">
        <w:tc>
          <w:tcPr>
            <w:tcW w:w="2342" w:type="pct"/>
            <w:hideMark/>
          </w:tcPr>
          <w:p w14:paraId="4119981A"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ФБУ "Астраханский ЦСМ"</w:t>
            </w:r>
          </w:p>
        </w:tc>
        <w:tc>
          <w:tcPr>
            <w:tcW w:w="276" w:type="pct"/>
            <w:vAlign w:val="center"/>
            <w:hideMark/>
          </w:tcPr>
          <w:p w14:paraId="0DECF6D7" w14:textId="77777777" w:rsidR="00AA43CE" w:rsidRPr="00AA43CE" w:rsidRDefault="00AA43CE" w:rsidP="00AA43CE">
            <w:pPr>
              <w:spacing w:after="0" w:line="240" w:lineRule="auto"/>
              <w:ind w:firstLine="480"/>
              <w:jc w:val="both"/>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6C654F8" w14:textId="7ED1FCD9" w:rsidR="00AA43CE"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_______________________</w:t>
            </w:r>
          </w:p>
        </w:tc>
      </w:tr>
      <w:tr w:rsidR="00AA43CE" w:rsidRPr="00AA43CE" w14:paraId="25F539BA" w14:textId="77777777" w:rsidTr="006178C0">
        <w:tc>
          <w:tcPr>
            <w:tcW w:w="2342" w:type="pct"/>
            <w:hideMark/>
          </w:tcPr>
          <w:p w14:paraId="24D1333F" w14:textId="2AE47463"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Юр. адрес: 414014, Астраханская </w:t>
            </w:r>
            <w:proofErr w:type="spellStart"/>
            <w:r w:rsidRPr="00AA43CE">
              <w:rPr>
                <w:rFonts w:ascii="Times New Roman" w:eastAsia="Times New Roman" w:hAnsi="Times New Roman" w:cs="Times New Roman"/>
                <w:kern w:val="0"/>
                <w:sz w:val="16"/>
                <w:szCs w:val="16"/>
                <w:lang w:eastAsia="ru-RU"/>
                <w14:ligatures w14:val="none"/>
              </w:rPr>
              <w:t>обл</w:t>
            </w:r>
            <w:proofErr w:type="spellEnd"/>
            <w:r w:rsidRPr="00AA43CE">
              <w:rPr>
                <w:rFonts w:ascii="Times New Roman" w:eastAsia="Times New Roman" w:hAnsi="Times New Roman" w:cs="Times New Roman"/>
                <w:kern w:val="0"/>
                <w:sz w:val="16"/>
                <w:szCs w:val="16"/>
                <w:lang w:eastAsia="ru-RU"/>
                <w14:ligatures w14:val="none"/>
              </w:rPr>
              <w:t>, Астрахань г, ул.</w:t>
            </w:r>
            <w:r w:rsidR="00A2546D">
              <w:rPr>
                <w:rFonts w:ascii="Times New Roman" w:eastAsia="Times New Roman" w:hAnsi="Times New Roman" w:cs="Times New Roman"/>
                <w:kern w:val="0"/>
                <w:sz w:val="16"/>
                <w:szCs w:val="16"/>
                <w:lang w:eastAsia="ru-RU"/>
                <w14:ligatures w14:val="none"/>
              </w:rPr>
              <w:t xml:space="preserve"> </w:t>
            </w:r>
            <w:r w:rsidRPr="00AA43CE">
              <w:rPr>
                <w:rFonts w:ascii="Times New Roman" w:eastAsia="Times New Roman" w:hAnsi="Times New Roman" w:cs="Times New Roman"/>
                <w:kern w:val="0"/>
                <w:sz w:val="16"/>
                <w:szCs w:val="16"/>
                <w:lang w:eastAsia="ru-RU"/>
                <w14:ligatures w14:val="none"/>
              </w:rPr>
              <w:t>Бехтерева 6, Тел. +7 (8512) 36-92-16</w:t>
            </w:r>
          </w:p>
        </w:tc>
        <w:tc>
          <w:tcPr>
            <w:tcW w:w="276" w:type="pct"/>
            <w:vAlign w:val="center"/>
            <w:hideMark/>
          </w:tcPr>
          <w:p w14:paraId="08A7B256"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CF5A2D2" w14:textId="77777777" w:rsid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Юр. адрес: </w:t>
            </w:r>
            <w:r w:rsidR="00A2546D">
              <w:rPr>
                <w:rFonts w:ascii="Times New Roman" w:eastAsia="Times New Roman" w:hAnsi="Times New Roman" w:cs="Times New Roman"/>
                <w:kern w:val="0"/>
                <w:sz w:val="16"/>
                <w:szCs w:val="16"/>
                <w:lang w:eastAsia="ru-RU"/>
                <w14:ligatures w14:val="none"/>
              </w:rPr>
              <w:t>______________________________</w:t>
            </w:r>
          </w:p>
          <w:p w14:paraId="2471346F" w14:textId="67827DD0"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Тел.</w:t>
            </w:r>
            <w:r>
              <w:rPr>
                <w:rFonts w:ascii="Times New Roman" w:eastAsia="Times New Roman" w:hAnsi="Times New Roman" w:cs="Times New Roman"/>
                <w:kern w:val="0"/>
                <w:sz w:val="16"/>
                <w:szCs w:val="16"/>
                <w:lang w:eastAsia="ru-RU"/>
                <w14:ligatures w14:val="none"/>
              </w:rPr>
              <w:t>______________________</w:t>
            </w:r>
          </w:p>
        </w:tc>
      </w:tr>
      <w:tr w:rsidR="00AA43CE" w:rsidRPr="00AA43CE" w14:paraId="194922B2" w14:textId="77777777" w:rsidTr="006178C0">
        <w:tc>
          <w:tcPr>
            <w:tcW w:w="2342" w:type="pct"/>
            <w:hideMark/>
          </w:tcPr>
          <w:p w14:paraId="4BB45F46"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ИНН / КПП: 3015004130 / 301501001</w:t>
            </w:r>
          </w:p>
        </w:tc>
        <w:tc>
          <w:tcPr>
            <w:tcW w:w="276" w:type="pct"/>
            <w:vAlign w:val="center"/>
            <w:hideMark/>
          </w:tcPr>
          <w:p w14:paraId="61B7DDF0"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65CA3466" w14:textId="59E12EDB"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ИНН / КПП: </w:t>
            </w:r>
            <w:r w:rsidR="00A2546D">
              <w:rPr>
                <w:rFonts w:ascii="Times New Roman" w:eastAsia="Times New Roman" w:hAnsi="Times New Roman" w:cs="Times New Roman"/>
                <w:kern w:val="0"/>
                <w:sz w:val="16"/>
                <w:szCs w:val="16"/>
                <w:lang w:eastAsia="ru-RU"/>
                <w14:ligatures w14:val="none"/>
              </w:rPr>
              <w:t>__________</w:t>
            </w:r>
            <w:r w:rsidRPr="00AA43CE">
              <w:rPr>
                <w:rFonts w:ascii="Times New Roman" w:eastAsia="Times New Roman" w:hAnsi="Times New Roman" w:cs="Times New Roman"/>
                <w:kern w:val="0"/>
                <w:sz w:val="16"/>
                <w:szCs w:val="16"/>
                <w:lang w:eastAsia="ru-RU"/>
                <w14:ligatures w14:val="none"/>
              </w:rPr>
              <w:t xml:space="preserve"> / </w:t>
            </w:r>
            <w:r w:rsidR="00A2546D">
              <w:rPr>
                <w:rFonts w:ascii="Times New Roman" w:eastAsia="Times New Roman" w:hAnsi="Times New Roman" w:cs="Times New Roman"/>
                <w:kern w:val="0"/>
                <w:sz w:val="16"/>
                <w:szCs w:val="16"/>
                <w:lang w:eastAsia="ru-RU"/>
                <w14:ligatures w14:val="none"/>
              </w:rPr>
              <w:t>___________</w:t>
            </w:r>
          </w:p>
        </w:tc>
      </w:tr>
      <w:tr w:rsidR="00AA43CE" w:rsidRPr="00AA43CE" w14:paraId="08F1308E" w14:textId="77777777" w:rsidTr="006178C0">
        <w:tc>
          <w:tcPr>
            <w:tcW w:w="2342" w:type="pct"/>
            <w:hideMark/>
          </w:tcPr>
          <w:p w14:paraId="6249413B"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Получатель: УФК по Астраханской области (ФБУ Астраханский ЦСМ, л/с 20256У55830)</w:t>
            </w:r>
          </w:p>
          <w:p w14:paraId="2F5859BD"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Банк получателя: ОКЦ № 1 ВВГУ Банка России //УФК по Нижегородской области, г. Нижний Новгород</w:t>
            </w:r>
          </w:p>
          <w:p w14:paraId="6B777150"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БИК Банка получателя средств (БИК ТОФК): 012202102</w:t>
            </w:r>
          </w:p>
          <w:p w14:paraId="6042F91B"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Номер счета банка получателя (ЕКС): 40102810745370000024</w:t>
            </w:r>
          </w:p>
          <w:p w14:paraId="045B6225"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Номер казначейского счета: 03214643000000013235</w:t>
            </w:r>
          </w:p>
          <w:p w14:paraId="40D0D70B"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Код дохода (КБК): 00000000000000000130</w:t>
            </w:r>
          </w:p>
          <w:p w14:paraId="25C4C0E3" w14:textId="26D6A447" w:rsidR="00AA43CE" w:rsidRPr="00AA43CE"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ОКТМО: 12701000 ОГРН:1023000828180</w:t>
            </w:r>
          </w:p>
        </w:tc>
        <w:tc>
          <w:tcPr>
            <w:tcW w:w="276" w:type="pct"/>
            <w:vAlign w:val="center"/>
            <w:hideMark/>
          </w:tcPr>
          <w:p w14:paraId="08287D1D"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78D9E72D" w14:textId="77777777" w:rsidR="00A2546D"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р/с </w:t>
            </w:r>
            <w:r w:rsidR="00A2546D">
              <w:rPr>
                <w:rFonts w:ascii="Times New Roman" w:eastAsia="Times New Roman" w:hAnsi="Times New Roman" w:cs="Times New Roman"/>
                <w:kern w:val="0"/>
                <w:sz w:val="16"/>
                <w:szCs w:val="16"/>
                <w:lang w:eastAsia="ru-RU"/>
                <w14:ligatures w14:val="none"/>
              </w:rPr>
              <w:t>______________</w:t>
            </w:r>
            <w:r w:rsidRPr="00AA43CE">
              <w:rPr>
                <w:rFonts w:ascii="Times New Roman" w:eastAsia="Times New Roman" w:hAnsi="Times New Roman" w:cs="Times New Roman"/>
                <w:kern w:val="0"/>
                <w:sz w:val="16"/>
                <w:szCs w:val="16"/>
                <w:lang w:eastAsia="ru-RU"/>
                <w14:ligatures w14:val="none"/>
              </w:rPr>
              <w:t xml:space="preserve">, Банк </w:t>
            </w:r>
            <w:r w:rsidR="00A2546D">
              <w:rPr>
                <w:rFonts w:ascii="Times New Roman" w:eastAsia="Times New Roman" w:hAnsi="Times New Roman" w:cs="Times New Roman"/>
                <w:kern w:val="0"/>
                <w:sz w:val="16"/>
                <w:szCs w:val="16"/>
                <w:lang w:eastAsia="ru-RU"/>
                <w14:ligatures w14:val="none"/>
              </w:rPr>
              <w:t>______________________________</w:t>
            </w:r>
          </w:p>
          <w:p w14:paraId="1454814D" w14:textId="4783B5D6"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БИК </w:t>
            </w:r>
            <w:r w:rsidR="00A2546D">
              <w:rPr>
                <w:rFonts w:ascii="Times New Roman" w:eastAsia="Times New Roman" w:hAnsi="Times New Roman" w:cs="Times New Roman"/>
                <w:kern w:val="0"/>
                <w:sz w:val="16"/>
                <w:szCs w:val="16"/>
                <w:lang w:eastAsia="ru-RU"/>
                <w14:ligatures w14:val="none"/>
              </w:rPr>
              <w:t>________________</w:t>
            </w:r>
            <w:r w:rsidRPr="00AA43CE">
              <w:rPr>
                <w:rFonts w:ascii="Times New Roman" w:eastAsia="Times New Roman" w:hAnsi="Times New Roman" w:cs="Times New Roman"/>
                <w:kern w:val="0"/>
                <w:sz w:val="16"/>
                <w:szCs w:val="16"/>
                <w:lang w:eastAsia="ru-RU"/>
                <w14:ligatures w14:val="none"/>
              </w:rPr>
              <w:t xml:space="preserve">, к/с </w:t>
            </w:r>
            <w:r w:rsidR="00A2546D">
              <w:rPr>
                <w:rFonts w:ascii="Times New Roman" w:eastAsia="Times New Roman" w:hAnsi="Times New Roman" w:cs="Times New Roman"/>
                <w:kern w:val="0"/>
                <w:sz w:val="16"/>
                <w:szCs w:val="16"/>
                <w:lang w:eastAsia="ru-RU"/>
                <w14:ligatures w14:val="none"/>
              </w:rPr>
              <w:t>______________________</w:t>
            </w:r>
          </w:p>
        </w:tc>
      </w:tr>
      <w:tr w:rsidR="00AA43CE" w:rsidRPr="00AA43CE" w14:paraId="62075970" w14:textId="77777777" w:rsidTr="006178C0">
        <w:tc>
          <w:tcPr>
            <w:tcW w:w="2342" w:type="pct"/>
            <w:hideMark/>
          </w:tcPr>
          <w:p w14:paraId="27E0794D"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_________________ Винник Илона Валериевна</w:t>
            </w:r>
          </w:p>
        </w:tc>
        <w:tc>
          <w:tcPr>
            <w:tcW w:w="276" w:type="pct"/>
            <w:vAlign w:val="center"/>
            <w:hideMark/>
          </w:tcPr>
          <w:p w14:paraId="699A3DE9"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D4603A9" w14:textId="58FDDFF0"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_________________ </w:t>
            </w:r>
            <w:r w:rsidR="00A2546D">
              <w:rPr>
                <w:rFonts w:ascii="Times New Roman" w:eastAsia="Times New Roman" w:hAnsi="Times New Roman" w:cs="Times New Roman"/>
                <w:kern w:val="0"/>
                <w:sz w:val="16"/>
                <w:szCs w:val="16"/>
                <w:lang w:eastAsia="ru-RU"/>
                <w14:ligatures w14:val="none"/>
              </w:rPr>
              <w:t>____________________________</w:t>
            </w:r>
          </w:p>
        </w:tc>
      </w:tr>
      <w:tr w:rsidR="00AA43CE" w:rsidRPr="00AA43CE" w14:paraId="2E053D1C" w14:textId="77777777" w:rsidTr="006178C0">
        <w:tc>
          <w:tcPr>
            <w:tcW w:w="2342" w:type="pct"/>
            <w:hideMark/>
          </w:tcPr>
          <w:p w14:paraId="4EFEFEDE"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М.П.</w:t>
            </w:r>
          </w:p>
        </w:tc>
        <w:tc>
          <w:tcPr>
            <w:tcW w:w="276" w:type="pct"/>
            <w:vAlign w:val="center"/>
            <w:hideMark/>
          </w:tcPr>
          <w:p w14:paraId="27847B0B"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20711A28" w14:textId="00ED9D6D"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М.П.</w:t>
            </w:r>
            <w:r w:rsidR="00A2546D">
              <w:rPr>
                <w:rFonts w:ascii="Times New Roman" w:eastAsia="Times New Roman" w:hAnsi="Times New Roman" w:cs="Times New Roman"/>
                <w:kern w:val="0"/>
                <w:sz w:val="16"/>
                <w:szCs w:val="16"/>
                <w:lang w:eastAsia="ru-RU"/>
                <w14:ligatures w14:val="none"/>
              </w:rPr>
              <w:t xml:space="preserve"> подпись                                       расшифровка</w:t>
            </w:r>
          </w:p>
        </w:tc>
      </w:tr>
      <w:tr w:rsidR="00A2546D" w:rsidRPr="00AA43CE" w14:paraId="154E0C63" w14:textId="77777777" w:rsidTr="006178C0">
        <w:tc>
          <w:tcPr>
            <w:tcW w:w="2342" w:type="pct"/>
          </w:tcPr>
          <w:p w14:paraId="7216BFD1"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c>
          <w:tcPr>
            <w:tcW w:w="276" w:type="pct"/>
            <w:vAlign w:val="center"/>
          </w:tcPr>
          <w:p w14:paraId="6DC9AFE1"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c>
          <w:tcPr>
            <w:tcW w:w="2382" w:type="pct"/>
          </w:tcPr>
          <w:p w14:paraId="6D6D4DC9"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r>
    </w:tbl>
    <w:p w14:paraId="74E477C2" w14:textId="1B0E75CE" w:rsidR="006178C0" w:rsidRPr="006178C0" w:rsidRDefault="006178C0" w:rsidP="006178C0">
      <w:pPr>
        <w:pStyle w:val="11"/>
        <w:ind w:left="284"/>
        <w:rPr>
          <w:rFonts w:ascii="Times New Roman" w:hAnsi="Times New Roman" w:cs="Times New Roman"/>
          <w:color w:val="EE0000"/>
          <w:kern w:val="0"/>
          <w:sz w:val="16"/>
          <w:szCs w:val="16"/>
          <w:lang w:eastAsia="ru-RU"/>
        </w:rPr>
      </w:pPr>
      <w:r w:rsidRPr="006178C0">
        <w:rPr>
          <w:rFonts w:ascii="Times New Roman" w:hAnsi="Times New Roman" w:cs="Times New Roman"/>
          <w:color w:val="EE0000"/>
          <w:kern w:val="0"/>
          <w:sz w:val="16"/>
          <w:szCs w:val="16"/>
          <w:lang w:eastAsia="ru-RU"/>
        </w:rPr>
        <w:t xml:space="preserve">*- Договоры </w:t>
      </w:r>
      <w:r w:rsidR="00F47361">
        <w:rPr>
          <w:rFonts w:ascii="Times New Roman" w:hAnsi="Times New Roman" w:cs="Times New Roman"/>
          <w:color w:val="EE0000"/>
          <w:kern w:val="0"/>
          <w:sz w:val="16"/>
          <w:szCs w:val="16"/>
          <w:lang w:eastAsia="ru-RU"/>
        </w:rPr>
        <w:t>свыше</w:t>
      </w:r>
      <w:r w:rsidRPr="006178C0">
        <w:rPr>
          <w:rFonts w:ascii="Times New Roman" w:hAnsi="Times New Roman" w:cs="Times New Roman"/>
          <w:color w:val="EE0000"/>
          <w:kern w:val="0"/>
          <w:sz w:val="16"/>
          <w:szCs w:val="16"/>
          <w:lang w:eastAsia="ru-RU"/>
        </w:rPr>
        <w:t xml:space="preserve"> </w:t>
      </w:r>
      <w:r w:rsidR="00F47361">
        <w:rPr>
          <w:rFonts w:ascii="Times New Roman" w:hAnsi="Times New Roman" w:cs="Times New Roman"/>
          <w:color w:val="EE0000"/>
          <w:kern w:val="0"/>
          <w:sz w:val="16"/>
          <w:szCs w:val="16"/>
          <w:lang w:eastAsia="ru-RU"/>
        </w:rPr>
        <w:t>10</w:t>
      </w:r>
      <w:r w:rsidRPr="006178C0">
        <w:rPr>
          <w:rFonts w:ascii="Times New Roman" w:hAnsi="Times New Roman" w:cs="Times New Roman"/>
          <w:color w:val="EE0000"/>
          <w:kern w:val="0"/>
          <w:sz w:val="16"/>
          <w:szCs w:val="16"/>
          <w:lang w:eastAsia="ru-RU"/>
        </w:rPr>
        <w:t>0 000 рублей со стороны Исполнителя подпис</w:t>
      </w:r>
      <w:r w:rsidR="00F47361">
        <w:rPr>
          <w:rFonts w:ascii="Times New Roman" w:hAnsi="Times New Roman" w:cs="Times New Roman"/>
          <w:color w:val="EE0000"/>
          <w:kern w:val="0"/>
          <w:sz w:val="16"/>
          <w:szCs w:val="16"/>
          <w:lang w:eastAsia="ru-RU"/>
        </w:rPr>
        <w:t>ываются</w:t>
      </w:r>
      <w:r w:rsidRPr="006178C0">
        <w:rPr>
          <w:rFonts w:ascii="Times New Roman" w:hAnsi="Times New Roman" w:cs="Times New Roman"/>
          <w:color w:val="EE0000"/>
          <w:kern w:val="0"/>
          <w:sz w:val="16"/>
          <w:szCs w:val="16"/>
          <w:lang w:eastAsia="ru-RU"/>
        </w:rPr>
        <w:t xml:space="preserve"> </w:t>
      </w:r>
      <w:r w:rsidR="00F47361">
        <w:rPr>
          <w:rFonts w:ascii="Times New Roman" w:hAnsi="Times New Roman" w:cs="Times New Roman"/>
          <w:color w:val="EE0000"/>
          <w:kern w:val="0"/>
          <w:sz w:val="16"/>
          <w:szCs w:val="16"/>
          <w:lang w:eastAsia="ru-RU"/>
        </w:rPr>
        <w:t xml:space="preserve">директором </w:t>
      </w:r>
      <w:proofErr w:type="spellStart"/>
      <w:r w:rsidR="00F47361">
        <w:rPr>
          <w:rFonts w:ascii="Times New Roman" w:hAnsi="Times New Roman" w:cs="Times New Roman"/>
          <w:color w:val="EE0000"/>
          <w:kern w:val="0"/>
          <w:sz w:val="16"/>
          <w:szCs w:val="16"/>
          <w:lang w:eastAsia="ru-RU"/>
        </w:rPr>
        <w:t>Дорджиевым</w:t>
      </w:r>
      <w:proofErr w:type="spellEnd"/>
      <w:r w:rsidR="00F47361">
        <w:rPr>
          <w:rFonts w:ascii="Times New Roman" w:hAnsi="Times New Roman" w:cs="Times New Roman"/>
          <w:color w:val="EE0000"/>
          <w:kern w:val="0"/>
          <w:sz w:val="16"/>
          <w:szCs w:val="16"/>
          <w:lang w:eastAsia="ru-RU"/>
        </w:rPr>
        <w:t xml:space="preserve"> Батыром Анатольевичем</w:t>
      </w:r>
      <w:r w:rsidRPr="006178C0">
        <w:rPr>
          <w:rFonts w:ascii="Times New Roman" w:hAnsi="Times New Roman" w:cs="Times New Roman"/>
          <w:color w:val="EE0000"/>
          <w:kern w:val="0"/>
          <w:sz w:val="16"/>
          <w:szCs w:val="16"/>
          <w:lang w:eastAsia="ru-RU"/>
        </w:rPr>
        <w:t xml:space="preserve">, действующего на основании </w:t>
      </w:r>
      <w:r w:rsidR="00F47361">
        <w:rPr>
          <w:rFonts w:ascii="Times New Roman" w:hAnsi="Times New Roman" w:cs="Times New Roman"/>
          <w:color w:val="EE0000"/>
          <w:kern w:val="0"/>
          <w:sz w:val="16"/>
          <w:szCs w:val="16"/>
          <w:lang w:eastAsia="ru-RU"/>
        </w:rPr>
        <w:t>Устава</w:t>
      </w:r>
      <w:r w:rsidRPr="006178C0">
        <w:rPr>
          <w:rFonts w:ascii="Times New Roman" w:hAnsi="Times New Roman" w:cs="Times New Roman"/>
          <w:color w:val="EE0000"/>
          <w:kern w:val="0"/>
          <w:sz w:val="16"/>
          <w:szCs w:val="16"/>
          <w:lang w:eastAsia="ru-RU"/>
        </w:rPr>
        <w:t>.</w:t>
      </w:r>
    </w:p>
    <w:p w14:paraId="2ED17FE3" w14:textId="2B1815E2" w:rsidR="00AA43CE" w:rsidRDefault="00AA43CE" w:rsidP="00AA43CE"/>
    <w:p w14:paraId="560C53EB" w14:textId="77777777" w:rsidR="00AA43CE" w:rsidRDefault="00AA43CE">
      <w:r>
        <w:br w:type="page"/>
      </w:r>
    </w:p>
    <w:tbl>
      <w:tblPr>
        <w:tblW w:w="0" w:type="auto"/>
        <w:tblCellMar>
          <w:left w:w="30" w:type="dxa"/>
          <w:right w:w="0" w:type="dxa"/>
        </w:tblCellMar>
        <w:tblLook w:val="04A0" w:firstRow="1" w:lastRow="0" w:firstColumn="1" w:lastColumn="0" w:noHBand="0" w:noVBand="1"/>
      </w:tblPr>
      <w:tblGrid>
        <w:gridCol w:w="36"/>
        <w:gridCol w:w="743"/>
        <w:gridCol w:w="480"/>
        <w:gridCol w:w="481"/>
        <w:gridCol w:w="504"/>
        <w:gridCol w:w="708"/>
        <w:gridCol w:w="563"/>
        <w:gridCol w:w="563"/>
        <w:gridCol w:w="199"/>
        <w:gridCol w:w="520"/>
        <w:gridCol w:w="670"/>
        <w:gridCol w:w="565"/>
        <w:gridCol w:w="565"/>
        <w:gridCol w:w="565"/>
        <w:gridCol w:w="445"/>
        <w:gridCol w:w="635"/>
        <w:gridCol w:w="74"/>
        <w:gridCol w:w="1606"/>
      </w:tblGrid>
      <w:tr w:rsidR="00A2546D" w:rsidRPr="00AA43CE" w14:paraId="684F90C5" w14:textId="77777777">
        <w:trPr>
          <w:trHeight w:val="255"/>
        </w:trPr>
        <w:tc>
          <w:tcPr>
            <w:tcW w:w="0" w:type="auto"/>
            <w:vAlign w:val="center"/>
            <w:hideMark/>
          </w:tcPr>
          <w:p w14:paraId="6942D61A" w14:textId="77777777" w:rsidR="00AA43CE" w:rsidRPr="00AA43CE" w:rsidRDefault="00AA43CE" w:rsidP="00AA43CE"/>
        </w:tc>
        <w:tc>
          <w:tcPr>
            <w:tcW w:w="0" w:type="auto"/>
            <w:vAlign w:val="center"/>
            <w:hideMark/>
          </w:tcPr>
          <w:p w14:paraId="441C9FD4" w14:textId="77777777" w:rsidR="00AA43CE" w:rsidRPr="00AA43CE" w:rsidRDefault="00AA43CE" w:rsidP="00AA43CE"/>
        </w:tc>
        <w:tc>
          <w:tcPr>
            <w:tcW w:w="0" w:type="auto"/>
            <w:vAlign w:val="center"/>
            <w:hideMark/>
          </w:tcPr>
          <w:p w14:paraId="192C4F93" w14:textId="77777777" w:rsidR="00AA43CE" w:rsidRPr="00AA43CE" w:rsidRDefault="00AA43CE" w:rsidP="00AA43CE"/>
        </w:tc>
        <w:tc>
          <w:tcPr>
            <w:tcW w:w="0" w:type="auto"/>
            <w:vAlign w:val="center"/>
            <w:hideMark/>
          </w:tcPr>
          <w:p w14:paraId="53F57FC9" w14:textId="77777777" w:rsidR="00AA43CE" w:rsidRPr="00AA43CE" w:rsidRDefault="00AA43CE" w:rsidP="00AA43CE"/>
        </w:tc>
        <w:tc>
          <w:tcPr>
            <w:tcW w:w="0" w:type="auto"/>
            <w:vAlign w:val="center"/>
            <w:hideMark/>
          </w:tcPr>
          <w:p w14:paraId="0C342381" w14:textId="77777777" w:rsidR="00AA43CE" w:rsidRPr="00AA43CE" w:rsidRDefault="00AA43CE" w:rsidP="00AA43CE"/>
        </w:tc>
        <w:tc>
          <w:tcPr>
            <w:tcW w:w="0" w:type="auto"/>
            <w:vAlign w:val="center"/>
            <w:hideMark/>
          </w:tcPr>
          <w:p w14:paraId="4742CB67" w14:textId="77777777" w:rsidR="00AA43CE" w:rsidRPr="00AA43CE" w:rsidRDefault="00AA43CE" w:rsidP="00AA43CE"/>
        </w:tc>
        <w:tc>
          <w:tcPr>
            <w:tcW w:w="0" w:type="auto"/>
            <w:vAlign w:val="center"/>
            <w:hideMark/>
          </w:tcPr>
          <w:p w14:paraId="68820974" w14:textId="77777777" w:rsidR="00AA43CE" w:rsidRPr="00AA43CE" w:rsidRDefault="00AA43CE" w:rsidP="00AA43CE"/>
        </w:tc>
        <w:tc>
          <w:tcPr>
            <w:tcW w:w="0" w:type="auto"/>
            <w:vAlign w:val="center"/>
            <w:hideMark/>
          </w:tcPr>
          <w:p w14:paraId="5FB19B94" w14:textId="77777777" w:rsidR="00AA43CE" w:rsidRPr="00AA43CE" w:rsidRDefault="00AA43CE" w:rsidP="00AA43CE"/>
        </w:tc>
        <w:tc>
          <w:tcPr>
            <w:tcW w:w="0" w:type="auto"/>
            <w:vAlign w:val="center"/>
            <w:hideMark/>
          </w:tcPr>
          <w:p w14:paraId="3BAA60F2" w14:textId="77777777" w:rsidR="00AA43CE" w:rsidRPr="00AA43CE" w:rsidRDefault="00AA43CE" w:rsidP="00AA43CE"/>
        </w:tc>
        <w:tc>
          <w:tcPr>
            <w:tcW w:w="0" w:type="auto"/>
            <w:vAlign w:val="center"/>
            <w:hideMark/>
          </w:tcPr>
          <w:p w14:paraId="1255F823" w14:textId="77777777" w:rsidR="00AA43CE" w:rsidRPr="00AA43CE" w:rsidRDefault="00AA43CE" w:rsidP="00AA43CE"/>
        </w:tc>
        <w:tc>
          <w:tcPr>
            <w:tcW w:w="0" w:type="auto"/>
            <w:vAlign w:val="center"/>
            <w:hideMark/>
          </w:tcPr>
          <w:p w14:paraId="071D107D" w14:textId="77777777" w:rsidR="00AA43CE" w:rsidRPr="00AA43CE" w:rsidRDefault="00AA43CE" w:rsidP="00AA43CE"/>
        </w:tc>
        <w:tc>
          <w:tcPr>
            <w:tcW w:w="0" w:type="auto"/>
            <w:vAlign w:val="center"/>
            <w:hideMark/>
          </w:tcPr>
          <w:p w14:paraId="010E409D" w14:textId="77777777" w:rsidR="00AA43CE" w:rsidRPr="00AA43CE" w:rsidRDefault="00AA43CE" w:rsidP="00AA43CE"/>
        </w:tc>
        <w:tc>
          <w:tcPr>
            <w:tcW w:w="0" w:type="auto"/>
            <w:vAlign w:val="center"/>
            <w:hideMark/>
          </w:tcPr>
          <w:p w14:paraId="1AD1792A" w14:textId="77777777" w:rsidR="00AA43CE" w:rsidRPr="00AA43CE" w:rsidRDefault="00AA43CE" w:rsidP="00AA43CE"/>
        </w:tc>
        <w:tc>
          <w:tcPr>
            <w:tcW w:w="0" w:type="auto"/>
            <w:vAlign w:val="center"/>
            <w:hideMark/>
          </w:tcPr>
          <w:p w14:paraId="71220797" w14:textId="77777777" w:rsidR="00AA43CE" w:rsidRPr="00AA43CE" w:rsidRDefault="00AA43CE" w:rsidP="00AA43CE"/>
        </w:tc>
        <w:tc>
          <w:tcPr>
            <w:tcW w:w="0" w:type="auto"/>
            <w:gridSpan w:val="4"/>
            <w:vAlign w:val="center"/>
            <w:hideMark/>
          </w:tcPr>
          <w:p w14:paraId="418A0E33" w14:textId="36BD008B" w:rsidR="00AA43CE" w:rsidRPr="00AA43CE" w:rsidRDefault="00AA43CE" w:rsidP="00AA43CE">
            <w:pPr>
              <w:jc w:val="right"/>
            </w:pPr>
          </w:p>
        </w:tc>
      </w:tr>
      <w:tr w:rsidR="00A2546D" w:rsidRPr="00AA43CE" w14:paraId="01BFBB8C" w14:textId="77777777">
        <w:trPr>
          <w:trHeight w:val="255"/>
        </w:trPr>
        <w:tc>
          <w:tcPr>
            <w:tcW w:w="0" w:type="auto"/>
            <w:vAlign w:val="center"/>
            <w:hideMark/>
          </w:tcPr>
          <w:p w14:paraId="4F71B207" w14:textId="77777777" w:rsidR="00AA43CE" w:rsidRPr="00AA43CE" w:rsidRDefault="00AA43CE" w:rsidP="00AA43CE"/>
        </w:tc>
        <w:tc>
          <w:tcPr>
            <w:tcW w:w="0" w:type="auto"/>
            <w:vAlign w:val="center"/>
            <w:hideMark/>
          </w:tcPr>
          <w:p w14:paraId="57C795ED" w14:textId="77777777" w:rsidR="00AA43CE" w:rsidRPr="00AA43CE" w:rsidRDefault="00AA43CE" w:rsidP="00AA43CE"/>
        </w:tc>
        <w:tc>
          <w:tcPr>
            <w:tcW w:w="0" w:type="auto"/>
            <w:vAlign w:val="center"/>
            <w:hideMark/>
          </w:tcPr>
          <w:p w14:paraId="1ECF87B5" w14:textId="77777777" w:rsidR="00AA43CE" w:rsidRPr="00AA43CE" w:rsidRDefault="00AA43CE" w:rsidP="00AA43CE"/>
        </w:tc>
        <w:tc>
          <w:tcPr>
            <w:tcW w:w="0" w:type="auto"/>
            <w:vAlign w:val="center"/>
            <w:hideMark/>
          </w:tcPr>
          <w:p w14:paraId="1A95DFBB" w14:textId="77777777" w:rsidR="00AA43CE" w:rsidRPr="00AA43CE" w:rsidRDefault="00AA43CE" w:rsidP="00AA43CE"/>
        </w:tc>
        <w:tc>
          <w:tcPr>
            <w:tcW w:w="0" w:type="auto"/>
            <w:vAlign w:val="center"/>
            <w:hideMark/>
          </w:tcPr>
          <w:p w14:paraId="02B4CC86" w14:textId="77777777" w:rsidR="00AA43CE" w:rsidRPr="00AA43CE" w:rsidRDefault="00AA43CE" w:rsidP="00AA43CE"/>
        </w:tc>
        <w:tc>
          <w:tcPr>
            <w:tcW w:w="0" w:type="auto"/>
            <w:vAlign w:val="center"/>
            <w:hideMark/>
          </w:tcPr>
          <w:p w14:paraId="6D16DE02" w14:textId="77777777" w:rsidR="00AA43CE" w:rsidRPr="00AA43CE" w:rsidRDefault="00AA43CE" w:rsidP="00AA43CE"/>
        </w:tc>
        <w:tc>
          <w:tcPr>
            <w:tcW w:w="0" w:type="auto"/>
            <w:vAlign w:val="center"/>
            <w:hideMark/>
          </w:tcPr>
          <w:p w14:paraId="214FEED0" w14:textId="77777777" w:rsidR="00AA43CE" w:rsidRPr="00AA43CE" w:rsidRDefault="00AA43CE" w:rsidP="00AA43CE"/>
        </w:tc>
        <w:tc>
          <w:tcPr>
            <w:tcW w:w="0" w:type="auto"/>
            <w:vAlign w:val="center"/>
            <w:hideMark/>
          </w:tcPr>
          <w:p w14:paraId="12896454" w14:textId="77777777" w:rsidR="00AA43CE" w:rsidRPr="00AA43CE" w:rsidRDefault="00AA43CE" w:rsidP="00AA43CE"/>
        </w:tc>
        <w:tc>
          <w:tcPr>
            <w:tcW w:w="0" w:type="auto"/>
            <w:vAlign w:val="center"/>
            <w:hideMark/>
          </w:tcPr>
          <w:p w14:paraId="3BDA97EC" w14:textId="77777777" w:rsidR="00AA43CE" w:rsidRPr="00AA43CE" w:rsidRDefault="00AA43CE" w:rsidP="00AA43CE"/>
        </w:tc>
        <w:tc>
          <w:tcPr>
            <w:tcW w:w="0" w:type="auto"/>
            <w:vAlign w:val="center"/>
            <w:hideMark/>
          </w:tcPr>
          <w:p w14:paraId="4C03156C" w14:textId="77777777" w:rsidR="00AA43CE" w:rsidRPr="00AA43CE" w:rsidRDefault="00AA43CE" w:rsidP="00AA43CE"/>
        </w:tc>
        <w:tc>
          <w:tcPr>
            <w:tcW w:w="0" w:type="auto"/>
            <w:vAlign w:val="center"/>
            <w:hideMark/>
          </w:tcPr>
          <w:p w14:paraId="2D599E29" w14:textId="77777777" w:rsidR="00AA43CE" w:rsidRPr="00AA43CE" w:rsidRDefault="00AA43CE" w:rsidP="00AA43CE"/>
        </w:tc>
        <w:tc>
          <w:tcPr>
            <w:tcW w:w="0" w:type="auto"/>
            <w:vAlign w:val="center"/>
            <w:hideMark/>
          </w:tcPr>
          <w:p w14:paraId="62156123" w14:textId="77777777" w:rsidR="00AA43CE" w:rsidRPr="00AA43CE" w:rsidRDefault="00AA43CE" w:rsidP="00AA43CE"/>
        </w:tc>
        <w:tc>
          <w:tcPr>
            <w:tcW w:w="0" w:type="auto"/>
            <w:vAlign w:val="center"/>
            <w:hideMark/>
          </w:tcPr>
          <w:p w14:paraId="693C582D" w14:textId="77777777" w:rsidR="00AA43CE" w:rsidRPr="00AA43CE" w:rsidRDefault="00AA43CE" w:rsidP="00AA43CE"/>
        </w:tc>
        <w:tc>
          <w:tcPr>
            <w:tcW w:w="0" w:type="auto"/>
            <w:vAlign w:val="center"/>
            <w:hideMark/>
          </w:tcPr>
          <w:p w14:paraId="4B0F95BB" w14:textId="77777777" w:rsidR="00AA43CE" w:rsidRPr="00AA43CE" w:rsidRDefault="00AA43CE" w:rsidP="00AA43CE"/>
        </w:tc>
        <w:tc>
          <w:tcPr>
            <w:tcW w:w="0" w:type="auto"/>
            <w:vAlign w:val="center"/>
            <w:hideMark/>
          </w:tcPr>
          <w:p w14:paraId="2FF0098A" w14:textId="77777777" w:rsidR="00AA43CE" w:rsidRPr="00AA43CE" w:rsidRDefault="00AA43CE" w:rsidP="00AA43CE"/>
        </w:tc>
        <w:tc>
          <w:tcPr>
            <w:tcW w:w="0" w:type="auto"/>
            <w:gridSpan w:val="3"/>
            <w:vAlign w:val="center"/>
            <w:hideMark/>
          </w:tcPr>
          <w:p w14:paraId="26AACE79" w14:textId="77777777" w:rsidR="00AA43CE" w:rsidRPr="00AA43CE" w:rsidRDefault="00AA43CE" w:rsidP="00AA43CE">
            <w:pPr>
              <w:jc w:val="right"/>
            </w:pPr>
            <w:r w:rsidRPr="00AA43CE">
              <w:t>Приложение</w:t>
            </w:r>
          </w:p>
        </w:tc>
      </w:tr>
      <w:tr w:rsidR="00AA43CE" w:rsidRPr="00AA43CE" w14:paraId="626EBF5D" w14:textId="77777777">
        <w:trPr>
          <w:trHeight w:val="345"/>
        </w:trPr>
        <w:tc>
          <w:tcPr>
            <w:tcW w:w="0" w:type="auto"/>
            <w:vAlign w:val="center"/>
            <w:hideMark/>
          </w:tcPr>
          <w:p w14:paraId="338A9731" w14:textId="77777777" w:rsidR="00AA43CE" w:rsidRPr="00AA43CE" w:rsidRDefault="00AA43CE" w:rsidP="00AA43CE"/>
        </w:tc>
        <w:tc>
          <w:tcPr>
            <w:tcW w:w="0" w:type="auto"/>
            <w:gridSpan w:val="17"/>
            <w:vAlign w:val="center"/>
            <w:hideMark/>
          </w:tcPr>
          <w:p w14:paraId="66D70885" w14:textId="3015D2C5" w:rsidR="00AA43CE" w:rsidRPr="00AA43CE" w:rsidRDefault="00AA43CE" w:rsidP="00AA43CE">
            <w:pPr>
              <w:jc w:val="right"/>
            </w:pPr>
            <w:r w:rsidRPr="00AA43CE">
              <w:t xml:space="preserve">К договору № </w:t>
            </w:r>
            <w:r w:rsidR="00A2546D">
              <w:t>__________</w:t>
            </w:r>
            <w:r w:rsidRPr="00AA43CE">
              <w:t xml:space="preserve"> от </w:t>
            </w:r>
            <w:r w:rsidR="00A2546D">
              <w:t>«__»_________</w:t>
            </w:r>
            <w:r w:rsidRPr="00AA43CE">
              <w:t xml:space="preserve"> 202</w:t>
            </w:r>
            <w:r w:rsidR="00A2546D">
              <w:t>_</w:t>
            </w:r>
            <w:r w:rsidRPr="00AA43CE">
              <w:t> г.</w:t>
            </w:r>
          </w:p>
        </w:tc>
      </w:tr>
      <w:tr w:rsidR="00A2546D" w:rsidRPr="00AA43CE" w14:paraId="30E14646" w14:textId="77777777">
        <w:trPr>
          <w:trHeight w:val="255"/>
        </w:trPr>
        <w:tc>
          <w:tcPr>
            <w:tcW w:w="0" w:type="auto"/>
            <w:vAlign w:val="center"/>
            <w:hideMark/>
          </w:tcPr>
          <w:p w14:paraId="4DB045F3" w14:textId="77777777" w:rsidR="00AA43CE" w:rsidRPr="00AA43CE" w:rsidRDefault="00AA43CE" w:rsidP="00AA43CE"/>
        </w:tc>
        <w:tc>
          <w:tcPr>
            <w:tcW w:w="0" w:type="auto"/>
            <w:vAlign w:val="center"/>
            <w:hideMark/>
          </w:tcPr>
          <w:p w14:paraId="7E785C15" w14:textId="77777777" w:rsidR="00AA43CE" w:rsidRPr="00AA43CE" w:rsidRDefault="00AA43CE" w:rsidP="00AA43CE"/>
        </w:tc>
        <w:tc>
          <w:tcPr>
            <w:tcW w:w="0" w:type="auto"/>
            <w:vAlign w:val="center"/>
            <w:hideMark/>
          </w:tcPr>
          <w:p w14:paraId="6A71858A" w14:textId="77777777" w:rsidR="00AA43CE" w:rsidRPr="00AA43CE" w:rsidRDefault="00AA43CE" w:rsidP="00AA43CE"/>
        </w:tc>
        <w:tc>
          <w:tcPr>
            <w:tcW w:w="0" w:type="auto"/>
            <w:vAlign w:val="center"/>
            <w:hideMark/>
          </w:tcPr>
          <w:p w14:paraId="201CFF56" w14:textId="77777777" w:rsidR="00AA43CE" w:rsidRPr="00AA43CE" w:rsidRDefault="00AA43CE" w:rsidP="00AA43CE"/>
        </w:tc>
        <w:tc>
          <w:tcPr>
            <w:tcW w:w="0" w:type="auto"/>
            <w:vAlign w:val="center"/>
            <w:hideMark/>
          </w:tcPr>
          <w:p w14:paraId="137C57EB" w14:textId="77777777" w:rsidR="00AA43CE" w:rsidRPr="00AA43CE" w:rsidRDefault="00AA43CE" w:rsidP="00AA43CE"/>
        </w:tc>
        <w:tc>
          <w:tcPr>
            <w:tcW w:w="0" w:type="auto"/>
            <w:vAlign w:val="center"/>
            <w:hideMark/>
          </w:tcPr>
          <w:p w14:paraId="24458566" w14:textId="77777777" w:rsidR="00AA43CE" w:rsidRPr="00AA43CE" w:rsidRDefault="00AA43CE" w:rsidP="00AA43CE"/>
        </w:tc>
        <w:tc>
          <w:tcPr>
            <w:tcW w:w="0" w:type="auto"/>
            <w:vAlign w:val="center"/>
            <w:hideMark/>
          </w:tcPr>
          <w:p w14:paraId="1A1B6848" w14:textId="77777777" w:rsidR="00AA43CE" w:rsidRPr="00AA43CE" w:rsidRDefault="00AA43CE" w:rsidP="00AA43CE"/>
        </w:tc>
        <w:tc>
          <w:tcPr>
            <w:tcW w:w="0" w:type="auto"/>
            <w:vAlign w:val="center"/>
            <w:hideMark/>
          </w:tcPr>
          <w:p w14:paraId="287C5DE9" w14:textId="77777777" w:rsidR="00AA43CE" w:rsidRPr="00AA43CE" w:rsidRDefault="00AA43CE" w:rsidP="00AA43CE"/>
        </w:tc>
        <w:tc>
          <w:tcPr>
            <w:tcW w:w="0" w:type="auto"/>
            <w:vAlign w:val="center"/>
            <w:hideMark/>
          </w:tcPr>
          <w:p w14:paraId="462B7F9F" w14:textId="77777777" w:rsidR="00AA43CE" w:rsidRPr="00AA43CE" w:rsidRDefault="00AA43CE" w:rsidP="00AA43CE"/>
        </w:tc>
        <w:tc>
          <w:tcPr>
            <w:tcW w:w="0" w:type="auto"/>
            <w:vAlign w:val="center"/>
            <w:hideMark/>
          </w:tcPr>
          <w:p w14:paraId="0DCBD7A6" w14:textId="77777777" w:rsidR="00AA43CE" w:rsidRPr="00AA43CE" w:rsidRDefault="00AA43CE" w:rsidP="00AA43CE"/>
        </w:tc>
        <w:tc>
          <w:tcPr>
            <w:tcW w:w="0" w:type="auto"/>
            <w:vAlign w:val="center"/>
            <w:hideMark/>
          </w:tcPr>
          <w:p w14:paraId="601CA975" w14:textId="77777777" w:rsidR="00AA43CE" w:rsidRPr="00AA43CE" w:rsidRDefault="00AA43CE" w:rsidP="00AA43CE"/>
        </w:tc>
        <w:tc>
          <w:tcPr>
            <w:tcW w:w="0" w:type="auto"/>
            <w:vAlign w:val="center"/>
            <w:hideMark/>
          </w:tcPr>
          <w:p w14:paraId="469DE983" w14:textId="77777777" w:rsidR="00AA43CE" w:rsidRPr="00AA43CE" w:rsidRDefault="00AA43CE" w:rsidP="00AA43CE"/>
        </w:tc>
        <w:tc>
          <w:tcPr>
            <w:tcW w:w="0" w:type="auto"/>
            <w:vAlign w:val="center"/>
            <w:hideMark/>
          </w:tcPr>
          <w:p w14:paraId="331411AB" w14:textId="77777777" w:rsidR="00AA43CE" w:rsidRPr="00AA43CE" w:rsidRDefault="00AA43CE" w:rsidP="00AA43CE"/>
        </w:tc>
        <w:tc>
          <w:tcPr>
            <w:tcW w:w="0" w:type="auto"/>
            <w:vAlign w:val="center"/>
            <w:hideMark/>
          </w:tcPr>
          <w:p w14:paraId="23F6A71D" w14:textId="77777777" w:rsidR="00AA43CE" w:rsidRPr="00AA43CE" w:rsidRDefault="00AA43CE" w:rsidP="00AA43CE"/>
        </w:tc>
        <w:tc>
          <w:tcPr>
            <w:tcW w:w="0" w:type="auto"/>
            <w:vAlign w:val="center"/>
            <w:hideMark/>
          </w:tcPr>
          <w:p w14:paraId="4875BCC8" w14:textId="77777777" w:rsidR="00AA43CE" w:rsidRPr="00AA43CE" w:rsidRDefault="00AA43CE" w:rsidP="00AA43CE"/>
        </w:tc>
        <w:tc>
          <w:tcPr>
            <w:tcW w:w="0" w:type="auto"/>
            <w:gridSpan w:val="2"/>
            <w:vAlign w:val="center"/>
            <w:hideMark/>
          </w:tcPr>
          <w:p w14:paraId="67D815CD" w14:textId="77777777" w:rsidR="00AA43CE" w:rsidRPr="00AA43CE" w:rsidRDefault="00AA43CE" w:rsidP="00AA43CE"/>
        </w:tc>
        <w:tc>
          <w:tcPr>
            <w:tcW w:w="0" w:type="auto"/>
            <w:vAlign w:val="center"/>
            <w:hideMark/>
          </w:tcPr>
          <w:p w14:paraId="67C94ECF" w14:textId="77777777" w:rsidR="00AA43CE" w:rsidRPr="00AA43CE" w:rsidRDefault="00AA43CE" w:rsidP="00AA43CE"/>
        </w:tc>
      </w:tr>
      <w:tr w:rsidR="00AA43CE" w:rsidRPr="00AA43CE" w14:paraId="61D1236E" w14:textId="77777777">
        <w:trPr>
          <w:trHeight w:val="345"/>
        </w:trPr>
        <w:tc>
          <w:tcPr>
            <w:tcW w:w="0" w:type="auto"/>
            <w:vAlign w:val="center"/>
            <w:hideMark/>
          </w:tcPr>
          <w:p w14:paraId="4D51B48F" w14:textId="77777777" w:rsidR="00AA43CE" w:rsidRPr="00AA43CE" w:rsidRDefault="00AA43CE" w:rsidP="00AA43CE">
            <w:pPr>
              <w:jc w:val="center"/>
            </w:pPr>
          </w:p>
        </w:tc>
        <w:tc>
          <w:tcPr>
            <w:tcW w:w="0" w:type="auto"/>
            <w:gridSpan w:val="17"/>
            <w:vAlign w:val="center"/>
            <w:hideMark/>
          </w:tcPr>
          <w:p w14:paraId="5288B694" w14:textId="7551A99D" w:rsidR="00AA43CE" w:rsidRPr="00A2546D" w:rsidRDefault="00AA43CE" w:rsidP="00AA43CE">
            <w:pPr>
              <w:jc w:val="center"/>
              <w:rPr>
                <w:u w:val="single"/>
              </w:rPr>
            </w:pPr>
          </w:p>
        </w:tc>
      </w:tr>
      <w:tr w:rsidR="00AA43CE" w:rsidRPr="00AA43CE" w14:paraId="07BFF9C0" w14:textId="77777777">
        <w:trPr>
          <w:trHeight w:val="255"/>
        </w:trPr>
        <w:tc>
          <w:tcPr>
            <w:tcW w:w="0" w:type="auto"/>
            <w:vAlign w:val="center"/>
            <w:hideMark/>
          </w:tcPr>
          <w:p w14:paraId="2F4920BB" w14:textId="77777777" w:rsidR="00AA43CE" w:rsidRPr="00AA43CE" w:rsidRDefault="00AA43CE" w:rsidP="00AA43CE">
            <w:pPr>
              <w:jc w:val="center"/>
            </w:pPr>
          </w:p>
        </w:tc>
        <w:tc>
          <w:tcPr>
            <w:tcW w:w="0" w:type="auto"/>
            <w:gridSpan w:val="17"/>
            <w:vAlign w:val="center"/>
            <w:hideMark/>
          </w:tcPr>
          <w:p w14:paraId="237983BF" w14:textId="77777777" w:rsidR="00AA43CE" w:rsidRPr="00AA43CE" w:rsidRDefault="00AA43CE" w:rsidP="00AA43CE">
            <w:pPr>
              <w:jc w:val="center"/>
            </w:pPr>
            <w:r w:rsidRPr="00AA43CE">
              <w:t>Спецификация</w:t>
            </w:r>
          </w:p>
        </w:tc>
      </w:tr>
      <w:tr w:rsidR="00A2546D" w:rsidRPr="00AA43CE" w14:paraId="53BD001C" w14:textId="77777777">
        <w:trPr>
          <w:trHeight w:val="255"/>
        </w:trPr>
        <w:tc>
          <w:tcPr>
            <w:tcW w:w="0" w:type="auto"/>
            <w:vAlign w:val="center"/>
            <w:hideMark/>
          </w:tcPr>
          <w:p w14:paraId="6ADCF98A" w14:textId="77777777" w:rsidR="00AA43CE" w:rsidRPr="00AA43CE" w:rsidRDefault="00AA43CE" w:rsidP="00AA43CE">
            <w:pPr>
              <w:rPr>
                <w:sz w:val="16"/>
                <w:szCs w:val="16"/>
              </w:rPr>
            </w:pPr>
          </w:p>
        </w:tc>
        <w:tc>
          <w:tcPr>
            <w:tcW w:w="0" w:type="auto"/>
            <w:vMerge w:val="restart"/>
            <w:tcBorders>
              <w:top w:val="single" w:sz="6" w:space="0" w:color="000000"/>
              <w:left w:val="single" w:sz="6" w:space="0" w:color="000000"/>
              <w:bottom w:val="single" w:sz="6" w:space="0" w:color="000000"/>
            </w:tcBorders>
            <w:vAlign w:val="center"/>
            <w:hideMark/>
          </w:tcPr>
          <w:p w14:paraId="3A5E0537" w14:textId="77777777" w:rsidR="00AA43CE" w:rsidRPr="00AA43CE" w:rsidRDefault="00AA43CE" w:rsidP="00AA43CE">
            <w:pPr>
              <w:rPr>
                <w:sz w:val="18"/>
                <w:szCs w:val="18"/>
              </w:rPr>
            </w:pPr>
            <w:r w:rsidRPr="00AA43CE">
              <w:rPr>
                <w:sz w:val="18"/>
                <w:szCs w:val="18"/>
              </w:rPr>
              <w:t>№ п/п</w:t>
            </w:r>
          </w:p>
        </w:tc>
        <w:tc>
          <w:tcPr>
            <w:tcW w:w="0" w:type="auto"/>
            <w:gridSpan w:val="3"/>
            <w:vMerge w:val="restart"/>
            <w:tcBorders>
              <w:top w:val="single" w:sz="6" w:space="0" w:color="000000"/>
              <w:left w:val="single" w:sz="6" w:space="0" w:color="000000"/>
              <w:bottom w:val="single" w:sz="6" w:space="0" w:color="000000"/>
              <w:right w:val="single" w:sz="6" w:space="0" w:color="000000"/>
            </w:tcBorders>
            <w:vAlign w:val="center"/>
            <w:hideMark/>
          </w:tcPr>
          <w:p w14:paraId="43FADFFA" w14:textId="77777777" w:rsidR="00AA43CE" w:rsidRPr="00AA43CE" w:rsidRDefault="00AA43CE" w:rsidP="00AA43CE">
            <w:pPr>
              <w:rPr>
                <w:sz w:val="18"/>
                <w:szCs w:val="18"/>
              </w:rPr>
            </w:pPr>
            <w:r w:rsidRPr="00AA43CE">
              <w:rPr>
                <w:sz w:val="18"/>
                <w:szCs w:val="18"/>
              </w:rPr>
              <w:t>Наименование</w:t>
            </w:r>
          </w:p>
        </w:tc>
        <w:tc>
          <w:tcPr>
            <w:tcW w:w="0" w:type="auto"/>
            <w:vMerge w:val="restart"/>
            <w:tcBorders>
              <w:top w:val="single" w:sz="6" w:space="0" w:color="000000"/>
              <w:bottom w:val="single" w:sz="6" w:space="0" w:color="000000"/>
              <w:right w:val="single" w:sz="6" w:space="0" w:color="000000"/>
            </w:tcBorders>
            <w:vAlign w:val="center"/>
            <w:hideMark/>
          </w:tcPr>
          <w:p w14:paraId="0A6F613A" w14:textId="77777777" w:rsidR="00AA43CE" w:rsidRPr="00AA43CE" w:rsidRDefault="00AA43CE" w:rsidP="00AA43CE">
            <w:pPr>
              <w:rPr>
                <w:sz w:val="18"/>
                <w:szCs w:val="18"/>
              </w:rPr>
            </w:pPr>
            <w:r w:rsidRPr="00AA43CE">
              <w:rPr>
                <w:sz w:val="18"/>
                <w:szCs w:val="18"/>
              </w:rPr>
              <w:t>Кол-во</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6DF194A8" w14:textId="77777777" w:rsidR="00AA43CE" w:rsidRPr="00AA43CE" w:rsidRDefault="00AA43CE" w:rsidP="00AA43CE">
            <w:pPr>
              <w:rPr>
                <w:sz w:val="18"/>
                <w:szCs w:val="18"/>
              </w:rPr>
            </w:pPr>
            <w:r w:rsidRPr="00AA43CE">
              <w:rPr>
                <w:sz w:val="18"/>
                <w:szCs w:val="18"/>
              </w:rPr>
              <w:t>Цена за ед., руб.</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67E0DFC6" w14:textId="77777777" w:rsidR="00AA43CE" w:rsidRPr="00AA43CE" w:rsidRDefault="00AA43CE" w:rsidP="00AA43CE">
            <w:pPr>
              <w:rPr>
                <w:sz w:val="18"/>
                <w:szCs w:val="18"/>
              </w:rPr>
            </w:pPr>
            <w:r w:rsidRPr="00AA43CE">
              <w:rPr>
                <w:sz w:val="18"/>
                <w:szCs w:val="18"/>
              </w:rPr>
              <w:t>Наценка / Льгота</w:t>
            </w:r>
          </w:p>
        </w:tc>
        <w:tc>
          <w:tcPr>
            <w:tcW w:w="0" w:type="auto"/>
            <w:gridSpan w:val="3"/>
            <w:vMerge w:val="restart"/>
            <w:tcBorders>
              <w:top w:val="single" w:sz="6" w:space="0" w:color="000000"/>
              <w:left w:val="single" w:sz="6" w:space="0" w:color="000000"/>
              <w:bottom w:val="single" w:sz="6" w:space="0" w:color="000000"/>
              <w:right w:val="single" w:sz="6" w:space="0" w:color="000000"/>
            </w:tcBorders>
            <w:vAlign w:val="center"/>
            <w:hideMark/>
          </w:tcPr>
          <w:p w14:paraId="38F59AC1" w14:textId="77777777" w:rsidR="00AA43CE" w:rsidRPr="00AA43CE" w:rsidRDefault="00AA43CE" w:rsidP="00AA43CE">
            <w:pPr>
              <w:rPr>
                <w:sz w:val="18"/>
                <w:szCs w:val="18"/>
              </w:rPr>
            </w:pPr>
            <w:r w:rsidRPr="00AA43CE">
              <w:rPr>
                <w:sz w:val="18"/>
                <w:szCs w:val="18"/>
              </w:rPr>
              <w:t>Стоимость без НДС, руб.</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413EA033" w14:textId="77777777" w:rsidR="00AA43CE" w:rsidRPr="00AA43CE" w:rsidRDefault="00AA43CE" w:rsidP="00AA43CE">
            <w:pPr>
              <w:rPr>
                <w:sz w:val="18"/>
                <w:szCs w:val="18"/>
              </w:rPr>
            </w:pPr>
            <w:r w:rsidRPr="00AA43CE">
              <w:rPr>
                <w:sz w:val="18"/>
                <w:szCs w:val="18"/>
              </w:rPr>
              <w:t>НДС 22%</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1A94A650" w14:textId="77777777" w:rsidR="00AA43CE" w:rsidRPr="00AA43CE" w:rsidRDefault="00AA43CE" w:rsidP="00AA43CE">
            <w:pPr>
              <w:rPr>
                <w:sz w:val="18"/>
                <w:szCs w:val="18"/>
              </w:rPr>
            </w:pPr>
            <w:r w:rsidRPr="00AA43CE">
              <w:rPr>
                <w:sz w:val="18"/>
                <w:szCs w:val="18"/>
              </w:rPr>
              <w:t>Стоимость c НДС, руб.</w:t>
            </w:r>
          </w:p>
        </w:tc>
      </w:tr>
      <w:tr w:rsidR="00A2546D" w:rsidRPr="00AA43CE" w14:paraId="732B6E80" w14:textId="77777777">
        <w:trPr>
          <w:trHeight w:val="255"/>
        </w:trPr>
        <w:tc>
          <w:tcPr>
            <w:tcW w:w="0" w:type="auto"/>
            <w:vAlign w:val="center"/>
            <w:hideMark/>
          </w:tcPr>
          <w:p w14:paraId="14BA2317" w14:textId="77777777" w:rsidR="00AA43CE" w:rsidRPr="00AA43CE" w:rsidRDefault="00AA43CE" w:rsidP="00AA43CE">
            <w:pPr>
              <w:rPr>
                <w:sz w:val="16"/>
                <w:szCs w:val="16"/>
              </w:rPr>
            </w:pPr>
          </w:p>
        </w:tc>
        <w:tc>
          <w:tcPr>
            <w:tcW w:w="0" w:type="auto"/>
            <w:vMerge/>
            <w:tcBorders>
              <w:top w:val="single" w:sz="6" w:space="0" w:color="000000"/>
              <w:left w:val="single" w:sz="6" w:space="0" w:color="000000"/>
              <w:bottom w:val="single" w:sz="6" w:space="0" w:color="000000"/>
            </w:tcBorders>
            <w:vAlign w:val="center"/>
            <w:hideMark/>
          </w:tcPr>
          <w:p w14:paraId="43E0F8EE" w14:textId="77777777" w:rsidR="00AA43CE" w:rsidRPr="00AA43CE" w:rsidRDefault="00AA43CE" w:rsidP="00AA43CE">
            <w:pPr>
              <w:rPr>
                <w:sz w:val="18"/>
                <w:szCs w:val="18"/>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8BA988E" w14:textId="77777777" w:rsidR="00AA43CE" w:rsidRPr="00AA43CE" w:rsidRDefault="00AA43CE" w:rsidP="00AA43CE">
            <w:pPr>
              <w:rPr>
                <w:sz w:val="18"/>
                <w:szCs w:val="18"/>
              </w:rPr>
            </w:pPr>
          </w:p>
        </w:tc>
        <w:tc>
          <w:tcPr>
            <w:tcW w:w="0" w:type="auto"/>
            <w:vMerge/>
            <w:tcBorders>
              <w:top w:val="single" w:sz="6" w:space="0" w:color="000000"/>
              <w:bottom w:val="single" w:sz="6" w:space="0" w:color="000000"/>
              <w:right w:val="single" w:sz="6" w:space="0" w:color="000000"/>
            </w:tcBorders>
            <w:vAlign w:val="center"/>
            <w:hideMark/>
          </w:tcPr>
          <w:p w14:paraId="197B4E1D"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A706FCD"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367DC6F7" w14:textId="77777777" w:rsidR="00AA43CE" w:rsidRPr="00AA43CE" w:rsidRDefault="00AA43CE" w:rsidP="00AA43CE">
            <w:pPr>
              <w:rPr>
                <w:sz w:val="18"/>
                <w:szCs w:val="18"/>
              </w:rPr>
            </w:pPr>
            <w:r w:rsidRPr="00AA43CE">
              <w:rPr>
                <w:sz w:val="18"/>
                <w:szCs w:val="18"/>
              </w:rPr>
              <w:t>%</w:t>
            </w:r>
          </w:p>
        </w:tc>
        <w:tc>
          <w:tcPr>
            <w:tcW w:w="0" w:type="auto"/>
            <w:tcBorders>
              <w:top w:val="single" w:sz="6" w:space="0" w:color="000000"/>
              <w:left w:val="single" w:sz="6" w:space="0" w:color="000000"/>
              <w:bottom w:val="single" w:sz="6" w:space="0" w:color="000000"/>
              <w:right w:val="single" w:sz="6" w:space="0" w:color="000000"/>
            </w:tcBorders>
            <w:hideMark/>
          </w:tcPr>
          <w:p w14:paraId="1246D41D" w14:textId="77777777" w:rsidR="00AA43CE" w:rsidRPr="00AA43CE" w:rsidRDefault="00AA43CE" w:rsidP="00AA43CE">
            <w:pPr>
              <w:rPr>
                <w:sz w:val="18"/>
                <w:szCs w:val="18"/>
              </w:rPr>
            </w:pPr>
            <w:r w:rsidRPr="00AA43CE">
              <w:rPr>
                <w:sz w:val="18"/>
                <w:szCs w:val="18"/>
              </w:rPr>
              <w:t>Цена</w:t>
            </w:r>
          </w:p>
        </w:tc>
        <w:tc>
          <w:tcPr>
            <w:tcW w:w="0" w:type="auto"/>
            <w:tcBorders>
              <w:top w:val="single" w:sz="6" w:space="0" w:color="000000"/>
              <w:left w:val="single" w:sz="6" w:space="0" w:color="000000"/>
              <w:bottom w:val="single" w:sz="6" w:space="0" w:color="000000"/>
              <w:right w:val="single" w:sz="6" w:space="0" w:color="000000"/>
            </w:tcBorders>
            <w:hideMark/>
          </w:tcPr>
          <w:p w14:paraId="424422F8" w14:textId="77777777" w:rsidR="00AA43CE" w:rsidRPr="00AA43CE" w:rsidRDefault="00AA43CE" w:rsidP="00AA43CE">
            <w:pPr>
              <w:rPr>
                <w:sz w:val="18"/>
                <w:szCs w:val="18"/>
              </w:rPr>
            </w:pPr>
            <w:r w:rsidRPr="00AA43CE">
              <w:rPr>
                <w:sz w:val="18"/>
                <w:szCs w:val="18"/>
              </w:rPr>
              <w:t>Сумма</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AFE540B"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9EAFC92"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6E826F5" w14:textId="77777777" w:rsidR="00AA43CE" w:rsidRPr="00AA43CE" w:rsidRDefault="00AA43CE" w:rsidP="00AA43CE">
            <w:pPr>
              <w:rPr>
                <w:sz w:val="18"/>
                <w:szCs w:val="18"/>
              </w:rPr>
            </w:pPr>
          </w:p>
        </w:tc>
      </w:tr>
      <w:tr w:rsidR="00A2546D" w:rsidRPr="00AA43CE" w14:paraId="692C5AD6" w14:textId="77777777" w:rsidTr="00A2546D">
        <w:trPr>
          <w:trHeight w:val="495"/>
        </w:trPr>
        <w:tc>
          <w:tcPr>
            <w:tcW w:w="0" w:type="auto"/>
            <w:vAlign w:val="center"/>
            <w:hideMark/>
          </w:tcPr>
          <w:p w14:paraId="643B1B1C" w14:textId="77777777" w:rsidR="00AA43CE" w:rsidRPr="00AA43CE" w:rsidRDefault="00AA43CE" w:rsidP="00AA43CE">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BEFB1" w14:textId="77777777" w:rsidR="00AA43CE" w:rsidRPr="00AA43CE" w:rsidRDefault="00AA43CE" w:rsidP="00AA43CE">
            <w:pPr>
              <w:rPr>
                <w:sz w:val="18"/>
                <w:szCs w:val="18"/>
              </w:rPr>
            </w:pPr>
            <w:r w:rsidRPr="00AA43CE">
              <w:rPr>
                <w:sz w:val="18"/>
                <w:szCs w:val="18"/>
              </w:rPr>
              <w:t>1</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5773011" w14:textId="58E4F048"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87BE30D" w14:textId="61E2EAEC"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C252B3" w14:textId="595B47BC"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EB62F0"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313F56B9" w14:textId="159F75A1"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5EEC043" w14:textId="217069CC" w:rsidR="00AA43CE" w:rsidRPr="00AA43CE" w:rsidRDefault="00AA43CE" w:rsidP="00AA43CE">
            <w:pPr>
              <w:rPr>
                <w:sz w:val="18"/>
                <w:szCs w:val="18"/>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1352A801" w14:textId="70977572"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503E3C9" w14:textId="7D819B69"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146836A" w14:textId="7033F4DE" w:rsidR="00AA43CE" w:rsidRPr="00AA43CE" w:rsidRDefault="00AA43CE" w:rsidP="00AA43CE">
            <w:pPr>
              <w:rPr>
                <w:sz w:val="18"/>
                <w:szCs w:val="18"/>
              </w:rPr>
            </w:pPr>
          </w:p>
        </w:tc>
      </w:tr>
      <w:tr w:rsidR="00A2546D" w:rsidRPr="00AA43CE" w14:paraId="44AEBEAD" w14:textId="77777777" w:rsidTr="00A2546D">
        <w:trPr>
          <w:trHeight w:val="345"/>
        </w:trPr>
        <w:tc>
          <w:tcPr>
            <w:tcW w:w="0" w:type="auto"/>
            <w:vAlign w:val="center"/>
            <w:hideMark/>
          </w:tcPr>
          <w:p w14:paraId="65A5C212" w14:textId="77777777" w:rsidR="00AA43CE" w:rsidRPr="00AA43CE" w:rsidRDefault="00AA43CE" w:rsidP="00AA43CE">
            <w:pPr>
              <w:rPr>
                <w:sz w:val="16"/>
                <w:szCs w:val="16"/>
              </w:rPr>
            </w:pP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23130FD2" w14:textId="77777777" w:rsidR="00AA43CE" w:rsidRPr="00AA43CE" w:rsidRDefault="00AA43CE" w:rsidP="00AA43CE">
            <w:pPr>
              <w:rPr>
                <w:sz w:val="18"/>
                <w:szCs w:val="18"/>
              </w:rPr>
            </w:pPr>
            <w:r w:rsidRPr="00AA43CE">
              <w:rPr>
                <w:sz w:val="18"/>
                <w:szCs w:val="18"/>
              </w:rPr>
              <w:t>Итого</w:t>
            </w:r>
          </w:p>
        </w:tc>
        <w:tc>
          <w:tcPr>
            <w:tcW w:w="0" w:type="auto"/>
            <w:tcBorders>
              <w:top w:val="single" w:sz="6" w:space="0" w:color="000000"/>
              <w:left w:val="single" w:sz="6" w:space="0" w:color="000000"/>
              <w:bottom w:val="single" w:sz="6" w:space="0" w:color="000000"/>
              <w:right w:val="single" w:sz="6" w:space="0" w:color="000000"/>
            </w:tcBorders>
            <w:hideMark/>
          </w:tcPr>
          <w:p w14:paraId="2D52B89E"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59814A42"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500A9D0B" w14:textId="77777777" w:rsidR="00AA43CE" w:rsidRPr="00AA43CE" w:rsidRDefault="00AA43CE" w:rsidP="00AA43CE">
            <w:pPr>
              <w:rPr>
                <w:sz w:val="18"/>
                <w:szCs w:val="18"/>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42378B62" w14:textId="1445CDE1"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7EB0704" w14:textId="54F7F380"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E790B2E" w14:textId="47454945" w:rsidR="00AA43CE" w:rsidRPr="00AA43CE" w:rsidRDefault="00AA43CE" w:rsidP="00AA43CE">
            <w:pPr>
              <w:rPr>
                <w:sz w:val="18"/>
                <w:szCs w:val="18"/>
              </w:rPr>
            </w:pPr>
          </w:p>
        </w:tc>
      </w:tr>
      <w:tr w:rsidR="00A2546D" w:rsidRPr="00AA43CE" w14:paraId="425CE6EF" w14:textId="77777777">
        <w:trPr>
          <w:trHeight w:val="150"/>
        </w:trPr>
        <w:tc>
          <w:tcPr>
            <w:tcW w:w="0" w:type="auto"/>
            <w:vAlign w:val="center"/>
            <w:hideMark/>
          </w:tcPr>
          <w:p w14:paraId="7ED5B9F3" w14:textId="77777777" w:rsidR="00AA43CE" w:rsidRPr="00AA43CE" w:rsidRDefault="00AA43CE" w:rsidP="00AA43CE">
            <w:pPr>
              <w:rPr>
                <w:sz w:val="16"/>
                <w:szCs w:val="16"/>
              </w:rPr>
            </w:pPr>
          </w:p>
        </w:tc>
        <w:tc>
          <w:tcPr>
            <w:tcW w:w="0" w:type="auto"/>
            <w:vAlign w:val="center"/>
            <w:hideMark/>
          </w:tcPr>
          <w:p w14:paraId="684BADF0" w14:textId="77777777" w:rsidR="00AA43CE" w:rsidRPr="00AA43CE" w:rsidRDefault="00AA43CE" w:rsidP="00AA43CE">
            <w:pPr>
              <w:rPr>
                <w:sz w:val="16"/>
                <w:szCs w:val="16"/>
              </w:rPr>
            </w:pPr>
          </w:p>
        </w:tc>
        <w:tc>
          <w:tcPr>
            <w:tcW w:w="0" w:type="auto"/>
            <w:vAlign w:val="center"/>
            <w:hideMark/>
          </w:tcPr>
          <w:p w14:paraId="3A5CCA65" w14:textId="77777777" w:rsidR="00AA43CE" w:rsidRPr="00AA43CE" w:rsidRDefault="00AA43CE" w:rsidP="00AA43CE">
            <w:pPr>
              <w:rPr>
                <w:sz w:val="16"/>
                <w:szCs w:val="16"/>
              </w:rPr>
            </w:pPr>
          </w:p>
        </w:tc>
        <w:tc>
          <w:tcPr>
            <w:tcW w:w="0" w:type="auto"/>
            <w:vAlign w:val="center"/>
            <w:hideMark/>
          </w:tcPr>
          <w:p w14:paraId="14CD6859" w14:textId="77777777" w:rsidR="00AA43CE" w:rsidRPr="00AA43CE" w:rsidRDefault="00AA43CE" w:rsidP="00AA43CE">
            <w:pPr>
              <w:rPr>
                <w:sz w:val="16"/>
                <w:szCs w:val="16"/>
              </w:rPr>
            </w:pPr>
          </w:p>
        </w:tc>
        <w:tc>
          <w:tcPr>
            <w:tcW w:w="0" w:type="auto"/>
            <w:vAlign w:val="center"/>
            <w:hideMark/>
          </w:tcPr>
          <w:p w14:paraId="2728E823" w14:textId="77777777" w:rsidR="00AA43CE" w:rsidRPr="00AA43CE" w:rsidRDefault="00AA43CE" w:rsidP="00AA43CE">
            <w:pPr>
              <w:rPr>
                <w:sz w:val="16"/>
                <w:szCs w:val="16"/>
              </w:rPr>
            </w:pPr>
          </w:p>
        </w:tc>
        <w:tc>
          <w:tcPr>
            <w:tcW w:w="0" w:type="auto"/>
            <w:vAlign w:val="center"/>
            <w:hideMark/>
          </w:tcPr>
          <w:p w14:paraId="675E5D54" w14:textId="77777777" w:rsidR="00AA43CE" w:rsidRPr="00AA43CE" w:rsidRDefault="00AA43CE" w:rsidP="00AA43CE">
            <w:pPr>
              <w:rPr>
                <w:sz w:val="16"/>
                <w:szCs w:val="16"/>
              </w:rPr>
            </w:pPr>
          </w:p>
        </w:tc>
        <w:tc>
          <w:tcPr>
            <w:tcW w:w="0" w:type="auto"/>
            <w:vAlign w:val="center"/>
            <w:hideMark/>
          </w:tcPr>
          <w:p w14:paraId="2A2F5ED2" w14:textId="77777777" w:rsidR="00AA43CE" w:rsidRPr="00AA43CE" w:rsidRDefault="00AA43CE" w:rsidP="00AA43CE">
            <w:pPr>
              <w:rPr>
                <w:sz w:val="16"/>
                <w:szCs w:val="16"/>
              </w:rPr>
            </w:pPr>
          </w:p>
        </w:tc>
        <w:tc>
          <w:tcPr>
            <w:tcW w:w="0" w:type="auto"/>
            <w:vAlign w:val="center"/>
            <w:hideMark/>
          </w:tcPr>
          <w:p w14:paraId="76556911" w14:textId="77777777" w:rsidR="00AA43CE" w:rsidRPr="00AA43CE" w:rsidRDefault="00AA43CE" w:rsidP="00AA43CE">
            <w:pPr>
              <w:rPr>
                <w:sz w:val="16"/>
                <w:szCs w:val="16"/>
              </w:rPr>
            </w:pPr>
          </w:p>
        </w:tc>
        <w:tc>
          <w:tcPr>
            <w:tcW w:w="0" w:type="auto"/>
            <w:vAlign w:val="center"/>
            <w:hideMark/>
          </w:tcPr>
          <w:p w14:paraId="45AC95A8" w14:textId="77777777" w:rsidR="00AA43CE" w:rsidRPr="00AA43CE" w:rsidRDefault="00AA43CE" w:rsidP="00AA43CE">
            <w:pPr>
              <w:rPr>
                <w:sz w:val="16"/>
                <w:szCs w:val="16"/>
              </w:rPr>
            </w:pPr>
          </w:p>
        </w:tc>
        <w:tc>
          <w:tcPr>
            <w:tcW w:w="0" w:type="auto"/>
            <w:vAlign w:val="center"/>
            <w:hideMark/>
          </w:tcPr>
          <w:p w14:paraId="08F617D7" w14:textId="77777777" w:rsidR="00AA43CE" w:rsidRPr="00AA43CE" w:rsidRDefault="00AA43CE" w:rsidP="00AA43CE">
            <w:pPr>
              <w:rPr>
                <w:sz w:val="16"/>
                <w:szCs w:val="16"/>
              </w:rPr>
            </w:pPr>
          </w:p>
        </w:tc>
        <w:tc>
          <w:tcPr>
            <w:tcW w:w="0" w:type="auto"/>
            <w:vAlign w:val="center"/>
            <w:hideMark/>
          </w:tcPr>
          <w:p w14:paraId="63FD435C" w14:textId="77777777" w:rsidR="00AA43CE" w:rsidRPr="00AA43CE" w:rsidRDefault="00AA43CE" w:rsidP="00AA43CE">
            <w:pPr>
              <w:rPr>
                <w:sz w:val="16"/>
                <w:szCs w:val="16"/>
              </w:rPr>
            </w:pPr>
          </w:p>
        </w:tc>
        <w:tc>
          <w:tcPr>
            <w:tcW w:w="0" w:type="auto"/>
            <w:vAlign w:val="center"/>
            <w:hideMark/>
          </w:tcPr>
          <w:p w14:paraId="060DF95E" w14:textId="77777777" w:rsidR="00AA43CE" w:rsidRPr="00AA43CE" w:rsidRDefault="00AA43CE" w:rsidP="00AA43CE">
            <w:pPr>
              <w:rPr>
                <w:sz w:val="16"/>
                <w:szCs w:val="16"/>
              </w:rPr>
            </w:pPr>
          </w:p>
        </w:tc>
        <w:tc>
          <w:tcPr>
            <w:tcW w:w="0" w:type="auto"/>
            <w:vAlign w:val="center"/>
            <w:hideMark/>
          </w:tcPr>
          <w:p w14:paraId="61242F90" w14:textId="77777777" w:rsidR="00AA43CE" w:rsidRPr="00AA43CE" w:rsidRDefault="00AA43CE" w:rsidP="00AA43CE">
            <w:pPr>
              <w:rPr>
                <w:sz w:val="16"/>
                <w:szCs w:val="16"/>
              </w:rPr>
            </w:pPr>
          </w:p>
        </w:tc>
        <w:tc>
          <w:tcPr>
            <w:tcW w:w="0" w:type="auto"/>
            <w:vAlign w:val="center"/>
            <w:hideMark/>
          </w:tcPr>
          <w:p w14:paraId="44418BCB" w14:textId="77777777" w:rsidR="00AA43CE" w:rsidRPr="00AA43CE" w:rsidRDefault="00AA43CE" w:rsidP="00AA43CE">
            <w:pPr>
              <w:rPr>
                <w:sz w:val="16"/>
                <w:szCs w:val="16"/>
              </w:rPr>
            </w:pPr>
          </w:p>
        </w:tc>
        <w:tc>
          <w:tcPr>
            <w:tcW w:w="0" w:type="auto"/>
            <w:vAlign w:val="center"/>
            <w:hideMark/>
          </w:tcPr>
          <w:p w14:paraId="219CB47A" w14:textId="77777777" w:rsidR="00AA43CE" w:rsidRPr="00AA43CE" w:rsidRDefault="00AA43CE" w:rsidP="00AA43CE">
            <w:pPr>
              <w:rPr>
                <w:sz w:val="16"/>
                <w:szCs w:val="16"/>
              </w:rPr>
            </w:pPr>
          </w:p>
        </w:tc>
        <w:tc>
          <w:tcPr>
            <w:tcW w:w="0" w:type="auto"/>
            <w:gridSpan w:val="2"/>
            <w:vAlign w:val="center"/>
            <w:hideMark/>
          </w:tcPr>
          <w:p w14:paraId="13C47BF9" w14:textId="77777777" w:rsidR="00AA43CE" w:rsidRPr="00AA43CE" w:rsidRDefault="00AA43CE" w:rsidP="00AA43CE">
            <w:pPr>
              <w:rPr>
                <w:sz w:val="16"/>
                <w:szCs w:val="16"/>
              </w:rPr>
            </w:pPr>
          </w:p>
        </w:tc>
        <w:tc>
          <w:tcPr>
            <w:tcW w:w="0" w:type="auto"/>
            <w:vAlign w:val="center"/>
            <w:hideMark/>
          </w:tcPr>
          <w:p w14:paraId="73D4B627" w14:textId="77777777" w:rsidR="00AA43CE" w:rsidRPr="00AA43CE" w:rsidRDefault="00AA43CE" w:rsidP="00AA43CE">
            <w:pPr>
              <w:rPr>
                <w:sz w:val="16"/>
                <w:szCs w:val="16"/>
              </w:rPr>
            </w:pPr>
          </w:p>
        </w:tc>
      </w:tr>
      <w:tr w:rsidR="00A2546D" w:rsidRPr="00AA43CE" w14:paraId="51C11041" w14:textId="77777777">
        <w:trPr>
          <w:trHeight w:val="345"/>
        </w:trPr>
        <w:tc>
          <w:tcPr>
            <w:tcW w:w="0" w:type="auto"/>
            <w:vAlign w:val="center"/>
            <w:hideMark/>
          </w:tcPr>
          <w:p w14:paraId="011446E7" w14:textId="77777777" w:rsidR="00AA43CE" w:rsidRPr="00AA43CE" w:rsidRDefault="00AA43CE" w:rsidP="00AA43CE">
            <w:pPr>
              <w:rPr>
                <w:sz w:val="16"/>
                <w:szCs w:val="16"/>
              </w:rPr>
            </w:pPr>
          </w:p>
        </w:tc>
        <w:tc>
          <w:tcPr>
            <w:tcW w:w="0" w:type="auto"/>
            <w:vAlign w:val="center"/>
            <w:hideMark/>
          </w:tcPr>
          <w:p w14:paraId="01F0CADD" w14:textId="77777777" w:rsidR="00AA43CE" w:rsidRPr="00AA43CE" w:rsidRDefault="00AA43CE" w:rsidP="00AA43CE">
            <w:pPr>
              <w:rPr>
                <w:sz w:val="16"/>
                <w:szCs w:val="16"/>
              </w:rPr>
            </w:pPr>
          </w:p>
        </w:tc>
        <w:tc>
          <w:tcPr>
            <w:tcW w:w="0" w:type="auto"/>
            <w:gridSpan w:val="3"/>
            <w:vAlign w:val="center"/>
            <w:hideMark/>
          </w:tcPr>
          <w:p w14:paraId="0DA32395" w14:textId="77777777" w:rsidR="00AA43CE" w:rsidRPr="00AA43CE" w:rsidRDefault="00AA43CE" w:rsidP="00AA43CE">
            <w:pPr>
              <w:rPr>
                <w:sz w:val="16"/>
                <w:szCs w:val="16"/>
              </w:rPr>
            </w:pPr>
            <w:r w:rsidRPr="00AA43CE">
              <w:rPr>
                <w:sz w:val="16"/>
                <w:szCs w:val="16"/>
              </w:rPr>
              <w:t>ИСПОЛНИТЕЛЬ</w:t>
            </w:r>
          </w:p>
        </w:tc>
        <w:tc>
          <w:tcPr>
            <w:tcW w:w="0" w:type="auto"/>
            <w:vAlign w:val="center"/>
            <w:hideMark/>
          </w:tcPr>
          <w:p w14:paraId="4698B8F2" w14:textId="77777777" w:rsidR="00AA43CE" w:rsidRPr="00AA43CE" w:rsidRDefault="00AA43CE" w:rsidP="00AA43CE">
            <w:pPr>
              <w:rPr>
                <w:sz w:val="16"/>
                <w:szCs w:val="16"/>
              </w:rPr>
            </w:pPr>
          </w:p>
        </w:tc>
        <w:tc>
          <w:tcPr>
            <w:tcW w:w="0" w:type="auto"/>
            <w:vAlign w:val="center"/>
            <w:hideMark/>
          </w:tcPr>
          <w:p w14:paraId="6BFBF4BD" w14:textId="77777777" w:rsidR="00AA43CE" w:rsidRPr="00AA43CE" w:rsidRDefault="00AA43CE" w:rsidP="00AA43CE">
            <w:pPr>
              <w:rPr>
                <w:sz w:val="16"/>
                <w:szCs w:val="16"/>
              </w:rPr>
            </w:pPr>
          </w:p>
        </w:tc>
        <w:tc>
          <w:tcPr>
            <w:tcW w:w="0" w:type="auto"/>
            <w:vAlign w:val="center"/>
            <w:hideMark/>
          </w:tcPr>
          <w:p w14:paraId="3BE8F07F" w14:textId="77777777" w:rsidR="00AA43CE" w:rsidRPr="00AA43CE" w:rsidRDefault="00AA43CE" w:rsidP="00AA43CE">
            <w:pPr>
              <w:rPr>
                <w:sz w:val="16"/>
                <w:szCs w:val="16"/>
              </w:rPr>
            </w:pPr>
          </w:p>
        </w:tc>
        <w:tc>
          <w:tcPr>
            <w:tcW w:w="0" w:type="auto"/>
            <w:vAlign w:val="center"/>
            <w:hideMark/>
          </w:tcPr>
          <w:p w14:paraId="725EF919" w14:textId="77777777" w:rsidR="00AA43CE" w:rsidRPr="00AA43CE" w:rsidRDefault="00AA43CE" w:rsidP="00AA43CE">
            <w:pPr>
              <w:rPr>
                <w:sz w:val="16"/>
                <w:szCs w:val="16"/>
              </w:rPr>
            </w:pPr>
          </w:p>
        </w:tc>
        <w:tc>
          <w:tcPr>
            <w:tcW w:w="0" w:type="auto"/>
            <w:vAlign w:val="center"/>
            <w:hideMark/>
          </w:tcPr>
          <w:p w14:paraId="4087206E" w14:textId="77777777" w:rsidR="00AA43CE" w:rsidRPr="00AA43CE" w:rsidRDefault="00AA43CE" w:rsidP="00AA43CE">
            <w:pPr>
              <w:rPr>
                <w:sz w:val="16"/>
                <w:szCs w:val="16"/>
              </w:rPr>
            </w:pPr>
          </w:p>
        </w:tc>
        <w:tc>
          <w:tcPr>
            <w:tcW w:w="0" w:type="auto"/>
            <w:gridSpan w:val="3"/>
            <w:vAlign w:val="center"/>
            <w:hideMark/>
          </w:tcPr>
          <w:p w14:paraId="1AF3E89D" w14:textId="77777777" w:rsidR="00AA43CE" w:rsidRPr="00AA43CE" w:rsidRDefault="00AA43CE" w:rsidP="00AA43CE">
            <w:pPr>
              <w:rPr>
                <w:sz w:val="16"/>
                <w:szCs w:val="16"/>
              </w:rPr>
            </w:pPr>
            <w:r w:rsidRPr="00AA43CE">
              <w:rPr>
                <w:sz w:val="16"/>
                <w:szCs w:val="16"/>
              </w:rPr>
              <w:t>ЗАКАЗЧИК</w:t>
            </w:r>
          </w:p>
        </w:tc>
        <w:tc>
          <w:tcPr>
            <w:tcW w:w="0" w:type="auto"/>
            <w:vAlign w:val="center"/>
            <w:hideMark/>
          </w:tcPr>
          <w:p w14:paraId="1A2FA1E9" w14:textId="77777777" w:rsidR="00AA43CE" w:rsidRPr="00AA43CE" w:rsidRDefault="00AA43CE" w:rsidP="00AA43CE">
            <w:pPr>
              <w:rPr>
                <w:sz w:val="16"/>
                <w:szCs w:val="16"/>
              </w:rPr>
            </w:pPr>
          </w:p>
        </w:tc>
        <w:tc>
          <w:tcPr>
            <w:tcW w:w="0" w:type="auto"/>
            <w:vAlign w:val="center"/>
            <w:hideMark/>
          </w:tcPr>
          <w:p w14:paraId="30631713" w14:textId="77777777" w:rsidR="00AA43CE" w:rsidRPr="00AA43CE" w:rsidRDefault="00AA43CE" w:rsidP="00AA43CE">
            <w:pPr>
              <w:rPr>
                <w:sz w:val="16"/>
                <w:szCs w:val="16"/>
              </w:rPr>
            </w:pPr>
          </w:p>
        </w:tc>
        <w:tc>
          <w:tcPr>
            <w:tcW w:w="0" w:type="auto"/>
            <w:gridSpan w:val="2"/>
            <w:vAlign w:val="center"/>
            <w:hideMark/>
          </w:tcPr>
          <w:p w14:paraId="64790CEA" w14:textId="77777777" w:rsidR="00AA43CE" w:rsidRPr="00AA43CE" w:rsidRDefault="00AA43CE" w:rsidP="00AA43CE">
            <w:pPr>
              <w:rPr>
                <w:sz w:val="16"/>
                <w:szCs w:val="16"/>
              </w:rPr>
            </w:pPr>
          </w:p>
        </w:tc>
        <w:tc>
          <w:tcPr>
            <w:tcW w:w="0" w:type="auto"/>
            <w:vAlign w:val="center"/>
            <w:hideMark/>
          </w:tcPr>
          <w:p w14:paraId="12F1651F" w14:textId="77777777" w:rsidR="00AA43CE" w:rsidRPr="00AA43CE" w:rsidRDefault="00AA43CE" w:rsidP="00AA43CE">
            <w:pPr>
              <w:rPr>
                <w:sz w:val="16"/>
                <w:szCs w:val="16"/>
              </w:rPr>
            </w:pPr>
          </w:p>
        </w:tc>
      </w:tr>
      <w:tr w:rsidR="00A2546D" w:rsidRPr="00AA43CE" w14:paraId="49E7616C" w14:textId="77777777" w:rsidTr="00A2546D">
        <w:trPr>
          <w:trHeight w:val="735"/>
        </w:trPr>
        <w:tc>
          <w:tcPr>
            <w:tcW w:w="0" w:type="auto"/>
            <w:vAlign w:val="center"/>
            <w:hideMark/>
          </w:tcPr>
          <w:p w14:paraId="76997E14" w14:textId="77777777" w:rsidR="00AA43CE" w:rsidRPr="00AA43CE" w:rsidRDefault="00AA43CE" w:rsidP="00AA43CE">
            <w:pPr>
              <w:rPr>
                <w:sz w:val="16"/>
                <w:szCs w:val="16"/>
              </w:rPr>
            </w:pPr>
          </w:p>
        </w:tc>
        <w:tc>
          <w:tcPr>
            <w:tcW w:w="0" w:type="auto"/>
            <w:gridSpan w:val="3"/>
            <w:vAlign w:val="center"/>
            <w:hideMark/>
          </w:tcPr>
          <w:p w14:paraId="7986B7C1" w14:textId="6293659C" w:rsidR="00AA43CE" w:rsidRPr="00AA43CE" w:rsidRDefault="00AA43CE" w:rsidP="00AA43CE">
            <w:pPr>
              <w:rPr>
                <w:sz w:val="16"/>
                <w:szCs w:val="16"/>
                <w:u w:val="single"/>
              </w:rPr>
            </w:pPr>
            <w:r w:rsidRPr="00AA43CE">
              <w:rPr>
                <w:sz w:val="16"/>
                <w:szCs w:val="16"/>
                <w:u w:val="single"/>
              </w:rPr>
              <w:t xml:space="preserve">Винник Илона Валериевна </w:t>
            </w:r>
          </w:p>
        </w:tc>
        <w:tc>
          <w:tcPr>
            <w:tcW w:w="0" w:type="auto"/>
            <w:gridSpan w:val="2"/>
            <w:vAlign w:val="center"/>
            <w:hideMark/>
          </w:tcPr>
          <w:p w14:paraId="404455EF" w14:textId="77777777" w:rsidR="00AA43CE" w:rsidRPr="00AA43CE" w:rsidRDefault="00AA43CE" w:rsidP="00AA43CE">
            <w:pPr>
              <w:rPr>
                <w:sz w:val="16"/>
                <w:szCs w:val="16"/>
              </w:rPr>
            </w:pPr>
            <w:r w:rsidRPr="00AA43CE">
              <w:rPr>
                <w:sz w:val="16"/>
                <w:szCs w:val="16"/>
              </w:rPr>
              <w:t>/_____________/</w:t>
            </w:r>
          </w:p>
        </w:tc>
        <w:tc>
          <w:tcPr>
            <w:tcW w:w="0" w:type="auto"/>
            <w:vAlign w:val="center"/>
          </w:tcPr>
          <w:p w14:paraId="18A17E2E" w14:textId="77777777" w:rsidR="00AA43CE" w:rsidRPr="00AA43CE" w:rsidRDefault="00AA43CE" w:rsidP="00AA43CE">
            <w:pPr>
              <w:rPr>
                <w:sz w:val="16"/>
                <w:szCs w:val="16"/>
              </w:rPr>
            </w:pPr>
          </w:p>
        </w:tc>
        <w:tc>
          <w:tcPr>
            <w:tcW w:w="0" w:type="auto"/>
            <w:gridSpan w:val="8"/>
            <w:vAlign w:val="center"/>
          </w:tcPr>
          <w:p w14:paraId="067261B6" w14:textId="3F844CC0" w:rsidR="00AA43CE" w:rsidRPr="00AA43CE" w:rsidRDefault="00AA43CE" w:rsidP="00AA43CE">
            <w:pPr>
              <w:rPr>
                <w:sz w:val="16"/>
                <w:szCs w:val="16"/>
                <w:u w:val="single"/>
              </w:rPr>
            </w:pPr>
          </w:p>
        </w:tc>
        <w:tc>
          <w:tcPr>
            <w:tcW w:w="0" w:type="auto"/>
            <w:gridSpan w:val="3"/>
            <w:vAlign w:val="center"/>
            <w:hideMark/>
          </w:tcPr>
          <w:p w14:paraId="6D1B4307" w14:textId="77777777" w:rsidR="00AA43CE" w:rsidRPr="00AA43CE" w:rsidRDefault="00AA43CE" w:rsidP="00AA43CE">
            <w:pPr>
              <w:rPr>
                <w:sz w:val="16"/>
                <w:szCs w:val="16"/>
              </w:rPr>
            </w:pPr>
            <w:r w:rsidRPr="00AA43CE">
              <w:rPr>
                <w:sz w:val="16"/>
                <w:szCs w:val="16"/>
              </w:rPr>
              <w:t>/_____________/</w:t>
            </w:r>
          </w:p>
        </w:tc>
      </w:tr>
      <w:tr w:rsidR="00A2546D" w:rsidRPr="00AA43CE" w14:paraId="3560D30E" w14:textId="77777777">
        <w:trPr>
          <w:trHeight w:val="255"/>
        </w:trPr>
        <w:tc>
          <w:tcPr>
            <w:tcW w:w="0" w:type="auto"/>
            <w:vAlign w:val="center"/>
            <w:hideMark/>
          </w:tcPr>
          <w:p w14:paraId="4C914C11" w14:textId="77777777" w:rsidR="00AA43CE" w:rsidRPr="00AA43CE" w:rsidRDefault="00AA43CE" w:rsidP="00AA43CE">
            <w:pPr>
              <w:rPr>
                <w:sz w:val="16"/>
                <w:szCs w:val="16"/>
              </w:rPr>
            </w:pPr>
          </w:p>
        </w:tc>
        <w:tc>
          <w:tcPr>
            <w:tcW w:w="0" w:type="auto"/>
            <w:vAlign w:val="center"/>
            <w:hideMark/>
          </w:tcPr>
          <w:p w14:paraId="7D200E3A" w14:textId="77777777" w:rsidR="00AA43CE" w:rsidRPr="00AA43CE" w:rsidRDefault="00AA43CE" w:rsidP="00AA43CE">
            <w:pPr>
              <w:rPr>
                <w:sz w:val="16"/>
                <w:szCs w:val="16"/>
              </w:rPr>
            </w:pPr>
          </w:p>
        </w:tc>
        <w:tc>
          <w:tcPr>
            <w:tcW w:w="0" w:type="auto"/>
            <w:gridSpan w:val="2"/>
            <w:vAlign w:val="center"/>
            <w:hideMark/>
          </w:tcPr>
          <w:p w14:paraId="51CEB00B" w14:textId="77777777" w:rsidR="00AA43CE" w:rsidRPr="00AA43CE" w:rsidRDefault="00AA43CE" w:rsidP="00AA43CE">
            <w:pPr>
              <w:rPr>
                <w:sz w:val="16"/>
                <w:szCs w:val="16"/>
              </w:rPr>
            </w:pPr>
            <w:r w:rsidRPr="00AA43CE">
              <w:rPr>
                <w:sz w:val="16"/>
                <w:szCs w:val="16"/>
              </w:rPr>
              <w:t>(ФИО)</w:t>
            </w:r>
          </w:p>
        </w:tc>
        <w:tc>
          <w:tcPr>
            <w:tcW w:w="0" w:type="auto"/>
            <w:gridSpan w:val="2"/>
            <w:vAlign w:val="center"/>
            <w:hideMark/>
          </w:tcPr>
          <w:p w14:paraId="01448246" w14:textId="77777777" w:rsidR="00AA43CE" w:rsidRPr="00AA43CE" w:rsidRDefault="00AA43CE" w:rsidP="00AA43CE">
            <w:pPr>
              <w:rPr>
                <w:sz w:val="16"/>
                <w:szCs w:val="16"/>
              </w:rPr>
            </w:pPr>
            <w:r w:rsidRPr="00AA43CE">
              <w:rPr>
                <w:sz w:val="16"/>
                <w:szCs w:val="16"/>
              </w:rPr>
              <w:t>(Подпись)</w:t>
            </w:r>
          </w:p>
        </w:tc>
        <w:tc>
          <w:tcPr>
            <w:tcW w:w="0" w:type="auto"/>
            <w:vAlign w:val="center"/>
            <w:hideMark/>
          </w:tcPr>
          <w:p w14:paraId="3C46569A" w14:textId="77777777" w:rsidR="00AA43CE" w:rsidRPr="00AA43CE" w:rsidRDefault="00AA43CE" w:rsidP="00AA43CE">
            <w:pPr>
              <w:rPr>
                <w:sz w:val="16"/>
                <w:szCs w:val="16"/>
              </w:rPr>
            </w:pPr>
          </w:p>
        </w:tc>
        <w:tc>
          <w:tcPr>
            <w:tcW w:w="0" w:type="auto"/>
            <w:vAlign w:val="center"/>
            <w:hideMark/>
          </w:tcPr>
          <w:p w14:paraId="71751B00" w14:textId="77777777" w:rsidR="00AA43CE" w:rsidRPr="00AA43CE" w:rsidRDefault="00AA43CE" w:rsidP="00AA43CE">
            <w:pPr>
              <w:rPr>
                <w:sz w:val="16"/>
                <w:szCs w:val="16"/>
              </w:rPr>
            </w:pPr>
          </w:p>
        </w:tc>
        <w:tc>
          <w:tcPr>
            <w:tcW w:w="0" w:type="auto"/>
            <w:gridSpan w:val="7"/>
            <w:vAlign w:val="center"/>
            <w:hideMark/>
          </w:tcPr>
          <w:p w14:paraId="3499B820" w14:textId="09B793CB" w:rsidR="00AA43CE" w:rsidRPr="00AA43CE" w:rsidRDefault="00A2546D" w:rsidP="00AA43CE">
            <w:pPr>
              <w:rPr>
                <w:sz w:val="16"/>
                <w:szCs w:val="16"/>
              </w:rPr>
            </w:pPr>
            <w:r>
              <w:rPr>
                <w:sz w:val="16"/>
                <w:szCs w:val="16"/>
              </w:rPr>
              <w:t xml:space="preserve">                                                            </w:t>
            </w:r>
            <w:r w:rsidRPr="00AA43CE">
              <w:rPr>
                <w:sz w:val="16"/>
                <w:szCs w:val="16"/>
              </w:rPr>
              <w:t>(ФИО)</w:t>
            </w:r>
          </w:p>
        </w:tc>
        <w:tc>
          <w:tcPr>
            <w:tcW w:w="0" w:type="auto"/>
            <w:gridSpan w:val="2"/>
            <w:vAlign w:val="center"/>
            <w:hideMark/>
          </w:tcPr>
          <w:p w14:paraId="08397779" w14:textId="77777777" w:rsidR="00AA43CE" w:rsidRPr="00AA43CE" w:rsidRDefault="00AA43CE" w:rsidP="00AA43CE">
            <w:pPr>
              <w:rPr>
                <w:sz w:val="16"/>
                <w:szCs w:val="16"/>
              </w:rPr>
            </w:pPr>
            <w:r w:rsidRPr="00AA43CE">
              <w:rPr>
                <w:sz w:val="16"/>
                <w:szCs w:val="16"/>
              </w:rPr>
              <w:t>(Подпись)</w:t>
            </w:r>
          </w:p>
        </w:tc>
        <w:tc>
          <w:tcPr>
            <w:tcW w:w="0" w:type="auto"/>
            <w:vAlign w:val="center"/>
            <w:hideMark/>
          </w:tcPr>
          <w:p w14:paraId="1FA91A40" w14:textId="77777777" w:rsidR="00AA43CE" w:rsidRPr="00AA43CE" w:rsidRDefault="00AA43CE" w:rsidP="00AA43CE">
            <w:pPr>
              <w:rPr>
                <w:sz w:val="16"/>
                <w:szCs w:val="16"/>
              </w:rPr>
            </w:pPr>
          </w:p>
        </w:tc>
      </w:tr>
    </w:tbl>
    <w:p w14:paraId="29227CBD" w14:textId="77777777" w:rsidR="00396A3E" w:rsidRPr="00AA43CE" w:rsidRDefault="00396A3E" w:rsidP="00AA43CE"/>
    <w:sectPr w:rsidR="00396A3E" w:rsidRPr="00AA43CE" w:rsidSect="00AA43CE">
      <w:foot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3C42" w14:textId="77777777" w:rsidR="008761F9" w:rsidRDefault="008761F9" w:rsidP="00A2546D">
      <w:pPr>
        <w:spacing w:after="0" w:line="240" w:lineRule="auto"/>
      </w:pPr>
      <w:r>
        <w:separator/>
      </w:r>
    </w:p>
  </w:endnote>
  <w:endnote w:type="continuationSeparator" w:id="0">
    <w:p w14:paraId="77C1C445" w14:textId="77777777" w:rsidR="008761F9" w:rsidRDefault="008761F9" w:rsidP="00A2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C0BB" w14:textId="77777777" w:rsidR="00A2546D" w:rsidRDefault="00A2546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0745" w14:textId="77777777" w:rsidR="008761F9" w:rsidRDefault="008761F9" w:rsidP="00A2546D">
      <w:pPr>
        <w:spacing w:after="0" w:line="240" w:lineRule="auto"/>
      </w:pPr>
      <w:r>
        <w:separator/>
      </w:r>
    </w:p>
  </w:footnote>
  <w:footnote w:type="continuationSeparator" w:id="0">
    <w:p w14:paraId="24B7A312" w14:textId="77777777" w:rsidR="008761F9" w:rsidRDefault="008761F9" w:rsidP="00A25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81"/>
    <w:rsid w:val="000977C1"/>
    <w:rsid w:val="000C49C1"/>
    <w:rsid w:val="00231B81"/>
    <w:rsid w:val="00396A3E"/>
    <w:rsid w:val="00506EAC"/>
    <w:rsid w:val="00516A3A"/>
    <w:rsid w:val="006178C0"/>
    <w:rsid w:val="006C1861"/>
    <w:rsid w:val="007A16D7"/>
    <w:rsid w:val="008761F9"/>
    <w:rsid w:val="008855E6"/>
    <w:rsid w:val="00932470"/>
    <w:rsid w:val="00A2546D"/>
    <w:rsid w:val="00AA43CE"/>
    <w:rsid w:val="00D34392"/>
    <w:rsid w:val="00EE1807"/>
    <w:rsid w:val="00F4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1C33"/>
  <w15:chartTrackingRefBased/>
  <w15:docId w15:val="{69AAA45C-2A25-4EF0-AC3E-037EB82B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1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1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1B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31B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31B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31B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1B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1B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1B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B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1B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1B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1B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1B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1B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1B81"/>
    <w:rPr>
      <w:rFonts w:eastAsiaTheme="majorEastAsia" w:cstheme="majorBidi"/>
      <w:color w:val="595959" w:themeColor="text1" w:themeTint="A6"/>
    </w:rPr>
  </w:style>
  <w:style w:type="character" w:customStyle="1" w:styleId="80">
    <w:name w:val="Заголовок 8 Знак"/>
    <w:basedOn w:val="a0"/>
    <w:link w:val="8"/>
    <w:uiPriority w:val="9"/>
    <w:semiHidden/>
    <w:rsid w:val="00231B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1B81"/>
    <w:rPr>
      <w:rFonts w:eastAsiaTheme="majorEastAsia" w:cstheme="majorBidi"/>
      <w:color w:val="272727" w:themeColor="text1" w:themeTint="D8"/>
    </w:rPr>
  </w:style>
  <w:style w:type="paragraph" w:styleId="a3">
    <w:name w:val="Title"/>
    <w:basedOn w:val="a"/>
    <w:next w:val="a"/>
    <w:link w:val="a4"/>
    <w:uiPriority w:val="10"/>
    <w:qFormat/>
    <w:rsid w:val="0023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1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B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1B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1B81"/>
    <w:pPr>
      <w:spacing w:before="160"/>
      <w:jc w:val="center"/>
    </w:pPr>
    <w:rPr>
      <w:i/>
      <w:iCs/>
      <w:color w:val="404040" w:themeColor="text1" w:themeTint="BF"/>
    </w:rPr>
  </w:style>
  <w:style w:type="character" w:customStyle="1" w:styleId="22">
    <w:name w:val="Цитата 2 Знак"/>
    <w:basedOn w:val="a0"/>
    <w:link w:val="21"/>
    <w:uiPriority w:val="29"/>
    <w:rsid w:val="00231B81"/>
    <w:rPr>
      <w:i/>
      <w:iCs/>
      <w:color w:val="404040" w:themeColor="text1" w:themeTint="BF"/>
    </w:rPr>
  </w:style>
  <w:style w:type="paragraph" w:styleId="a7">
    <w:name w:val="List Paragraph"/>
    <w:basedOn w:val="a"/>
    <w:uiPriority w:val="34"/>
    <w:qFormat/>
    <w:rsid w:val="00231B81"/>
    <w:pPr>
      <w:ind w:left="720"/>
      <w:contextualSpacing/>
    </w:pPr>
  </w:style>
  <w:style w:type="character" w:styleId="a8">
    <w:name w:val="Intense Emphasis"/>
    <w:basedOn w:val="a0"/>
    <w:uiPriority w:val="21"/>
    <w:qFormat/>
    <w:rsid w:val="00231B81"/>
    <w:rPr>
      <w:i/>
      <w:iCs/>
      <w:color w:val="2F5496" w:themeColor="accent1" w:themeShade="BF"/>
    </w:rPr>
  </w:style>
  <w:style w:type="paragraph" w:styleId="a9">
    <w:name w:val="Intense Quote"/>
    <w:basedOn w:val="a"/>
    <w:next w:val="a"/>
    <w:link w:val="aa"/>
    <w:uiPriority w:val="30"/>
    <w:qFormat/>
    <w:rsid w:val="00231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31B81"/>
    <w:rPr>
      <w:i/>
      <w:iCs/>
      <w:color w:val="2F5496" w:themeColor="accent1" w:themeShade="BF"/>
    </w:rPr>
  </w:style>
  <w:style w:type="character" w:styleId="ab">
    <w:name w:val="Intense Reference"/>
    <w:basedOn w:val="a0"/>
    <w:uiPriority w:val="32"/>
    <w:qFormat/>
    <w:rsid w:val="00231B81"/>
    <w:rPr>
      <w:b/>
      <w:bCs/>
      <w:smallCaps/>
      <w:color w:val="2F5496" w:themeColor="accent1" w:themeShade="BF"/>
      <w:spacing w:val="5"/>
    </w:rPr>
  </w:style>
  <w:style w:type="paragraph" w:styleId="ac">
    <w:name w:val="header"/>
    <w:basedOn w:val="a"/>
    <w:link w:val="ad"/>
    <w:uiPriority w:val="99"/>
    <w:unhideWhenUsed/>
    <w:rsid w:val="00A2546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546D"/>
  </w:style>
  <w:style w:type="paragraph" w:styleId="ae">
    <w:name w:val="footer"/>
    <w:basedOn w:val="a"/>
    <w:link w:val="af"/>
    <w:uiPriority w:val="99"/>
    <w:unhideWhenUsed/>
    <w:rsid w:val="00A2546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546D"/>
  </w:style>
  <w:style w:type="paragraph" w:customStyle="1" w:styleId="11">
    <w:name w:val="Текст1"/>
    <w:basedOn w:val="a"/>
    <w:rsid w:val="006178C0"/>
    <w:pPr>
      <w:suppressAutoHyphens/>
      <w:spacing w:after="0" w:line="240" w:lineRule="auto"/>
    </w:pPr>
    <w:rPr>
      <w:rFonts w:ascii="Courier New" w:eastAsia="Times New Roman" w:hAnsi="Courier New" w:cs="Courier New"/>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4021</Words>
  <Characters>22924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Илья Невенгловский</cp:lastModifiedBy>
  <cp:revision>4</cp:revision>
  <dcterms:created xsi:type="dcterms:W3CDTF">2026-04-13T10:26:00Z</dcterms:created>
  <dcterms:modified xsi:type="dcterms:W3CDTF">2026-05-12T10:30:00Z</dcterms:modified>
</cp:coreProperties>
</file>